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黑体" w:hAnsi="黑体" w:eastAsia="黑体"/>
          <w:color w:val="FF0000"/>
          <w:sz w:val="36"/>
          <w:szCs w:val="36"/>
          <w:lang w:eastAsia="zh-CN"/>
        </w:rPr>
      </w:pPr>
      <w:r>
        <w:rPr>
          <w:rFonts w:hint="eastAsia" w:ascii="黑体" w:hAnsi="黑体" w:eastAsia="黑体"/>
          <w:color w:val="FF0000"/>
          <w:sz w:val="36"/>
          <w:szCs w:val="36"/>
          <w:lang w:val="en-US" w:eastAsia="zh-CN"/>
        </w:rPr>
        <w:t>中国（</w:t>
      </w:r>
      <w:r>
        <w:rPr>
          <w:rFonts w:hint="eastAsia" w:ascii="黑体" w:hAnsi="黑体" w:eastAsia="黑体"/>
          <w:color w:val="FF0000"/>
          <w:sz w:val="36"/>
          <w:szCs w:val="36"/>
          <w:lang w:eastAsia="zh-CN"/>
        </w:rPr>
        <w:t>福建</w:t>
      </w:r>
      <w:r>
        <w:rPr>
          <w:rFonts w:hint="eastAsia" w:ascii="黑体" w:hAnsi="黑体" w:eastAsia="黑体"/>
          <w:color w:val="FF0000"/>
          <w:sz w:val="36"/>
          <w:szCs w:val="36"/>
          <w:lang w:val="en-US" w:eastAsia="zh-CN"/>
        </w:rPr>
        <w:t>）自由贸易试验区</w:t>
      </w:r>
      <w:r>
        <w:rPr>
          <w:rFonts w:hint="eastAsia" w:ascii="黑体" w:hAnsi="黑体" w:eastAsia="黑体"/>
          <w:color w:val="FF0000"/>
          <w:sz w:val="36"/>
          <w:szCs w:val="36"/>
          <w:lang w:eastAsia="zh-CN"/>
        </w:rPr>
        <w:t>福州片区</w:t>
      </w:r>
      <w:r>
        <w:rPr>
          <w:rFonts w:hint="eastAsia" w:ascii="黑体" w:hAnsi="黑体" w:eastAsia="黑体"/>
          <w:color w:val="FF0000"/>
          <w:sz w:val="36"/>
          <w:szCs w:val="36"/>
          <w:lang w:val="en-US" w:eastAsia="zh-CN"/>
        </w:rPr>
        <w:t>管理委员</w:t>
      </w:r>
      <w:r>
        <w:rPr>
          <w:rFonts w:hint="eastAsia" w:ascii="黑体" w:hAnsi="黑体" w:eastAsia="黑体"/>
          <w:color w:val="FF0000"/>
          <w:sz w:val="36"/>
          <w:szCs w:val="36"/>
          <w:lang w:eastAsia="zh-CN"/>
        </w:rPr>
        <w:t>会</w:t>
      </w:r>
    </w:p>
    <w:p>
      <w:pPr>
        <w:spacing w:line="520" w:lineRule="exact"/>
        <w:jc w:val="center"/>
        <w:rPr>
          <w:rFonts w:ascii="黑体" w:hAnsi="黑体" w:eastAsia="黑体"/>
          <w:color w:val="FF0000"/>
          <w:sz w:val="36"/>
          <w:szCs w:val="36"/>
        </w:rPr>
      </w:pPr>
      <w:r>
        <w:rPr>
          <w:rFonts w:hint="eastAsia" w:ascii="黑体" w:hAnsi="黑体" w:eastAsia="黑体"/>
          <w:color w:val="FF0000"/>
          <w:sz w:val="36"/>
          <w:szCs w:val="36"/>
        </w:rPr>
        <w:t>外商投资企业投诉工作</w:t>
      </w:r>
      <w:r>
        <w:rPr>
          <w:rFonts w:hint="eastAsia" w:ascii="黑体" w:hAnsi="黑体" w:eastAsia="黑体"/>
          <w:color w:val="FF0000"/>
          <w:sz w:val="36"/>
          <w:szCs w:val="36"/>
          <w:lang w:eastAsia="zh-CN"/>
        </w:rPr>
        <w:t>办事</w:t>
      </w:r>
      <w:r>
        <w:rPr>
          <w:rFonts w:hint="eastAsia" w:ascii="黑体" w:hAnsi="黑体" w:eastAsia="黑体"/>
          <w:color w:val="FF0000"/>
          <w:sz w:val="36"/>
          <w:szCs w:val="36"/>
        </w:rPr>
        <w:t>指南</w:t>
      </w:r>
    </w:p>
    <w:p>
      <w:pPr>
        <w:spacing w:line="520" w:lineRule="exact"/>
      </w:pPr>
    </w:p>
    <w:p>
      <w:pPr>
        <w:keepNext w:val="0"/>
        <w:keepLines w:val="0"/>
        <w:pageBreakBefore w:val="0"/>
        <w:widowControl w:val="0"/>
        <w:kinsoku/>
        <w:wordWrap/>
        <w:overflowPunct/>
        <w:topLinePunct w:val="0"/>
        <w:autoSpaceDE/>
        <w:autoSpaceDN/>
        <w:bidi w:val="0"/>
        <w:adjustRightInd w:val="0"/>
        <w:snapToGrid w:val="0"/>
        <w:spacing w:line="540" w:lineRule="exact"/>
        <w:ind w:firstLine="566" w:firstLineChars="177"/>
        <w:jc w:val="both"/>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第一章 福建自贸试验区福州片区管委会经济发展局外商投资企业投诉工作职责</w:t>
      </w:r>
      <w:bookmarkStart w:id="2" w:name="_GoBack"/>
      <w:bookmarkEnd w:id="2"/>
    </w:p>
    <w:p>
      <w:pPr>
        <w:keepNext w:val="0"/>
        <w:keepLines w:val="0"/>
        <w:pageBreakBefore w:val="0"/>
        <w:widowControl w:val="0"/>
        <w:kinsoku/>
        <w:wordWrap/>
        <w:overflowPunct/>
        <w:topLinePunct w:val="0"/>
        <w:autoSpaceDE/>
        <w:autoSpaceDN/>
        <w:bidi w:val="0"/>
        <w:adjustRightInd w:val="0"/>
        <w:snapToGrid w:val="0"/>
        <w:spacing w:line="540" w:lineRule="exact"/>
        <w:ind w:firstLine="566" w:firstLineChars="177"/>
        <w:jc w:val="both"/>
        <w:textAlignment w:val="auto"/>
        <w:rPr>
          <w:rFonts w:hint="eastAsia" w:ascii="黑体" w:hAnsi="黑体" w:eastAsia="黑体"/>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40" w:lineRule="exact"/>
        <w:ind w:right="0" w:rightChars="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福建自贸试验区福州片区管委会指定经济发展局可受理外商投资企业、外国投资者认为福建自贸试验区福州片区行政机关及其工作人员的行政行为侵犯其合法权益，投资环境方面存在的问题，建议完善有关政策措施的行为。</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具体处理外商投资企业投诉事项如下：</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（一）涉及福建自贸试验区福州片区管委会有关部门及其工作人员行政行为的；</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（二）建议福建自贸试验区福州片区管委会有关部门完善相关政策措施的；</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（三）在福建自贸试验区福州片区范围内或者有重大影响，福建自贸试验区福州片区管委会认为可以由其处理的。</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外商投资企业、外国投资者可通过信函、传真和电子邮件进行投诉。</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投诉咨询电话：0591-28327796，28327751</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default"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传真：0591-28057854</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default"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投诉工作邮箱：fzzmq123@163.com</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FF0000"/>
          <w:sz w:val="30"/>
          <w:szCs w:val="30"/>
          <w:lang w:val="en-US" w:eastAsia="zh-CN"/>
        </w:rPr>
        <w:t>纸件投诉邮寄地址：福州市马尾区湖里路27号自贸试验区福州片区管委会经济发展局213办公室</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528" w:firstLineChars="176"/>
        <w:jc w:val="both"/>
        <w:textAlignment w:val="auto"/>
        <w:outlineLvl w:val="9"/>
        <w:rPr>
          <w:rFonts w:hint="default" w:ascii="仿宋_GB2312" w:hAnsi="仿宋_GB2312" w:eastAsia="仿宋_GB2312" w:cs="仿宋_GB2312"/>
          <w:color w:val="FF0000"/>
          <w:sz w:val="30"/>
          <w:szCs w:val="30"/>
          <w:lang w:val="en-US" w:eastAsia="zh-CN"/>
        </w:rPr>
      </w:pPr>
    </w:p>
    <w:p>
      <w:pPr>
        <w:keepNext w:val="0"/>
        <w:keepLines w:val="0"/>
        <w:pageBreakBefore w:val="0"/>
        <w:widowControl w:val="0"/>
        <w:kinsoku/>
        <w:wordWrap/>
        <w:overflowPunct/>
        <w:topLinePunct w:val="0"/>
        <w:autoSpaceDE/>
        <w:autoSpaceDN/>
        <w:bidi w:val="0"/>
        <w:adjustRightInd w:val="0"/>
        <w:snapToGrid w:val="0"/>
        <w:spacing w:line="540" w:lineRule="exact"/>
        <w:ind w:right="0" w:rightChars="0"/>
        <w:jc w:val="center"/>
        <w:textAlignment w:val="auto"/>
        <w:outlineLvl w:val="9"/>
        <w:rPr>
          <w:rFonts w:hint="eastAsia" w:ascii="黑体" w:hAnsi="黑体" w:eastAsia="黑体"/>
          <w:sz w:val="32"/>
          <w:szCs w:val="32"/>
          <w:lang w:val="en-US" w:eastAsia="zh-CN"/>
        </w:rPr>
      </w:pPr>
      <w:r>
        <w:rPr>
          <w:rFonts w:hint="eastAsia" w:ascii="黑体" w:hAnsi="黑体" w:eastAsia="黑体"/>
          <w:sz w:val="32"/>
          <w:szCs w:val="32"/>
          <w:lang w:val="en-US" w:eastAsia="zh-CN"/>
        </w:rPr>
        <w:t>第二章 受理条件与要求</w:t>
      </w:r>
    </w:p>
    <w:p>
      <w:pPr>
        <w:spacing w:line="560" w:lineRule="exact"/>
        <w:ind w:firstLine="533" w:firstLineChars="177"/>
        <w:jc w:val="both"/>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一、有关定义</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（一）投诉。</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一是外商投资企业、外国投资者认为行政机关及其工作人员的行政行为侵犯其合法权益，向投诉工作机构申请协调解决的行为。</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二是投诉人向投诉工作机构反映投资环境方面存在的问题，建议完善有关政策措施的行为。</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（二）投诉人。</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中华人民共和国境内的外商投资企业、外国投资者。</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（三）被投诉人。</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福建自贸试验区福州片区管委会有关部门及其工作人员；</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福建自贸试验区福州片区管委会认为可以由其处理的事项中所涉及的行政机关及其工作人员。</w:t>
      </w:r>
    </w:p>
    <w:p>
      <w:pPr>
        <w:spacing w:line="560" w:lineRule="exact"/>
        <w:ind w:firstLine="533" w:firstLineChars="177"/>
        <w:jc w:val="both"/>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二、投诉材料要求</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投诉人提出投诉事项，应当提交书面投诉材料。投诉材料可以现场提交，也可以通过信函、传真、电子邮件、在线申请等方式提交。投诉材料应包括：</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（一）投诉人的姓名或者名称、通讯地址、邮编、有关联系人和联系方式，主体资格证明材料，提出投诉的日期；</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（二）被投诉人的姓名或者名称、通讯地址、邮编、有关联系人和联系方式；</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（三）明确的投诉事项和投诉请求；</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（四）有关事实、证据和理由，如有相关法律依据可以一并提供；</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（五）是否存在《外商投资企业投诉工作办法》第十四条第（八）、（九）项所列情形的说明。</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投诉人反映投资环境方面存在的问题，投诉材料应当包括前款第（一）项规定的信息、投资环境方面存在的相关问题以及具体政策措施建议。</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投诉材料应当用中文书写。有关证据和材料原件以外文书写的，应当提交准确、完整的中文翻译件。</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投诉人可以委托他人进行投诉。投诉人委托他人进行投诉的，除上述规定的材料以外，还应当提交投诉人的身份证明、出具的授权委托书和受委托人的身份证明。授权委托书应当载明委托事项、权限和期限。</w:t>
      </w:r>
    </w:p>
    <w:p>
      <w:pPr>
        <w:spacing w:line="560" w:lineRule="exact"/>
        <w:ind w:firstLine="533"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三、不予受理条件</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（一）投诉主体不属于外商投资企业、外国投资者的；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（二）申请协调解决与其他自然人、法人或者其他组织之间民商事纠纷，或者不属于《外商投资企业投诉工作办法》规定的外商投资企业投诉事项范围的；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（三）不属于</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的投诉事项处理范围的；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（四）经通知补正后，投诉材料仍不符合要求的；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（五）投诉人伪造、变造证据或者明显缺乏事实依据的；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（六）没有新的证据或者法律依据，重复投诉的；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（七）同一投诉事项已经由上级投诉工作机构受理或者处理终结的；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（八）同一投诉事项已经由信访等部门受理或者处理终结的；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（九）同一投诉事项已经进入或者完成行政复议、行政诉讼等程序的。</w:t>
      </w:r>
    </w:p>
    <w:p>
      <w:pPr>
        <w:spacing w:line="560" w:lineRule="exact"/>
        <w:ind w:firstLine="533" w:firstLineChars="177"/>
        <w:jc w:val="both"/>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四、受理时限</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（一）投诉材料不齐全的，</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在收到投诉材料后7 个工作日内一次性以《外商投资企业投诉材料补正通知书》的形式书面通知投诉人在15个工作日内予以补正。</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接到完整齐备的投诉材料后7 个工作日内作出是否受理的决定，符合投诉受理条件的，予以受理并向投诉人发出《外商投资企业投诉案件受理通知书》。</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（三）不符合投诉受理条件的，投诉工作机构于7 个工作日内向投诉人发出《外商投资企业投诉案件不予受理通知书》并说明不予受理的理由。</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（四）不属于</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受理范围的事项，可以告知投诉人向有关投诉工作机构提出投诉。</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w:t>
      </w:r>
    </w:p>
    <w:p>
      <w:pPr>
        <w:spacing w:line="560" w:lineRule="exact"/>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第三章 处理方式与期限</w:t>
      </w:r>
    </w:p>
    <w:p>
      <w:pPr>
        <w:spacing w:line="560" w:lineRule="exact"/>
        <w:ind w:firstLine="533"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一、处理要求</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（一）工作要求</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在受理投诉后，将与投诉人和被投诉人进行联系沟通，了解情况，依法协调处理，推动投诉事项的妥善解决。</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根据投诉事项具体情况，</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可以组织召开会议，邀请投诉人和被投诉人共同参加，陈述意见，探讨投诉事项的解决方案。</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（二）投诉人义务</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进行投诉处理时，可以要求投诉人进一步说明情况、提供材料或者提供其他必要的协助，投诉人应当予以协助；可以向被投诉人了解情况，被投诉人应当予以配合。</w:t>
      </w:r>
    </w:p>
    <w:p>
      <w:pPr>
        <w:spacing w:line="560" w:lineRule="exact"/>
        <w:ind w:firstLine="533"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sz w:val="30"/>
          <w:szCs w:val="30"/>
          <w:lang w:val="en-US" w:eastAsia="zh-CN"/>
        </w:rPr>
        <w:t>二、处理方式</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根据投诉事项情况，</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可以采取下列方式进行处理：</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（一）推动投诉人和被投诉人达成谅解（包括达成和解协议）；</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（二）与被投诉人进行协调；</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（三）提交完善相关政策措施的建议；</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（四）其他适当的处理方式。</w:t>
      </w:r>
    </w:p>
    <w:p>
      <w:pPr>
        <w:spacing w:line="560" w:lineRule="exact"/>
        <w:ind w:firstLine="533" w:firstLineChars="177"/>
        <w:jc w:val="both"/>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三、处理期限</w:t>
      </w:r>
    </w:p>
    <w:p>
      <w:pPr>
        <w:spacing w:line="560" w:lineRule="exact"/>
        <w:ind w:firstLine="531" w:firstLineChars="177"/>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在受理投诉之日起30个工作日内办结受理的投诉事项。涉及部门多、情况复杂的投诉事项，</w:t>
      </w:r>
      <w:r>
        <w:rPr>
          <w:rFonts w:hint="eastAsia" w:ascii="仿宋_GB2312" w:eastAsia="仿宋_GB2312"/>
          <w:color w:val="auto"/>
          <w:sz w:val="30"/>
          <w:szCs w:val="30"/>
          <w:lang w:eastAsia="zh-CN"/>
        </w:rPr>
        <w:t>经投诉工作机构（单位）主要领导批准，可以适当延长处理时限，最终处理终结时限不超过半年。</w:t>
      </w:r>
    </w:p>
    <w:p>
      <w:pPr>
        <w:spacing w:line="560" w:lineRule="exact"/>
        <w:ind w:firstLine="533" w:firstLineChars="177"/>
        <w:jc w:val="both"/>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四、终结事由</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有下列情况之一的，投诉处理终结：</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（一）</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依据《外商投资企业投诉工作办法》第十八条进行协调处理，投诉人同意终结的；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（二）投诉事项与事实不符的，或者投诉人拒绝提供材料导致无法查明有关事实的；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（三）投诉人的有关诉求没有法律依据的；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（四）投诉人书面撤回投诉的；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（五）投诉人不再符合投诉主体资格的；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（六）经</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联系，投诉人连续30 日无正当理由不参加投诉处理工作的；</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（七）投诉处理期间，同一投诉事项已经由信访等部门受理或者处理终结的，以及同一投诉事项已经进入或者完成行政复议、行政诉讼等程序的，视同投诉人书面撤回投诉。</w:t>
      </w:r>
    </w:p>
    <w:p>
      <w:pPr>
        <w:spacing w:line="560" w:lineRule="exact"/>
        <w:ind w:firstLine="531" w:firstLineChars="177"/>
        <w:jc w:val="both"/>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投诉处理终结后，</w:t>
      </w:r>
      <w:r>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仿宋_GB2312" w:hAnsi="仿宋_GB2312" w:eastAsia="仿宋_GB2312" w:cs="仿宋_GB2312"/>
          <w:sz w:val="30"/>
          <w:szCs w:val="30"/>
          <w:lang w:val="en-US" w:eastAsia="zh-CN"/>
        </w:rPr>
        <w:t>在3 个工作日内将投诉处理结果书面通知投诉人。</w:t>
      </w:r>
    </w:p>
    <w:p>
      <w:pPr>
        <w:spacing w:line="560" w:lineRule="exact"/>
        <w:ind w:firstLine="640" w:firstLineChars="200"/>
        <w:rPr>
          <w:rFonts w:ascii="黑体" w:hAnsi="黑体" w:eastAsia="黑体" w:cs="Times New Roman"/>
          <w:sz w:val="32"/>
          <w:szCs w:val="32"/>
        </w:rPr>
      </w:pPr>
      <w:bookmarkStart w:id="0" w:name="_Toc52291909"/>
      <w:r>
        <w:rPr>
          <w:rFonts w:hint="eastAsia" w:ascii="黑体" w:hAnsi="黑体" w:eastAsia="黑体" w:cs="Times New Roman"/>
          <w:sz w:val="32"/>
          <w:szCs w:val="32"/>
        </w:rPr>
        <w:t>附件</w:t>
      </w:r>
      <w:bookmarkEnd w:id="0"/>
      <w:r>
        <w:rPr>
          <w:rFonts w:hint="eastAsia" w:ascii="黑体" w:hAnsi="黑体" w:eastAsia="黑体" w:cs="Times New Roman"/>
          <w:sz w:val="32"/>
          <w:szCs w:val="32"/>
        </w:rPr>
        <w:t>一外商投资企业投诉流程图</w:t>
      </w:r>
      <w:bookmarkStart w:id="1" w:name="_Toc52291910"/>
    </w:p>
    <w:p>
      <w:pPr>
        <w:spacing w:line="560" w:lineRule="exact"/>
        <w:ind w:firstLine="640" w:firstLineChars="200"/>
        <w:rPr>
          <w:rFonts w:ascii="黑体" w:hAnsi="黑体" w:eastAsia="黑体"/>
          <w:sz w:val="32"/>
          <w:szCs w:val="32"/>
        </w:rPr>
      </w:pPr>
      <w:r>
        <w:rPr>
          <w:rFonts w:hint="eastAsia" w:ascii="黑体" w:hAnsi="黑体" w:eastAsia="黑体"/>
          <w:sz w:val="32"/>
          <w:szCs w:val="32"/>
        </w:rPr>
        <w:t>附件二外商投资企业投诉书模板</w:t>
      </w:r>
      <w:bookmarkEnd w:id="1"/>
    </w:p>
    <w:p>
      <w:pPr>
        <w:spacing w:line="560" w:lineRule="exact"/>
        <w:ind w:firstLine="566" w:firstLineChars="177"/>
        <w:rPr>
          <w:rFonts w:ascii="黑体" w:hAnsi="黑体" w:eastAsia="黑体"/>
          <w:sz w:val="32"/>
          <w:szCs w:val="32"/>
        </w:rPr>
      </w:pPr>
    </w:p>
    <w:p>
      <w:pPr>
        <w:widowControl/>
        <w:jc w:val="left"/>
        <w:rPr>
          <w:rFonts w:ascii="黑体" w:hAnsi="黑体" w:eastAsia="黑体"/>
          <w:sz w:val="32"/>
          <w:szCs w:val="32"/>
        </w:rPr>
      </w:pPr>
      <w:r>
        <w:rPr>
          <w:rFonts w:ascii="黑体" w:hAnsi="黑体" w:eastAsia="黑体"/>
          <w:sz w:val="32"/>
          <w:szCs w:val="32"/>
        </w:rPr>
        <w:br w:type="page"/>
      </w:r>
    </w:p>
    <w:p>
      <w:pPr>
        <w:spacing w:line="560" w:lineRule="exact"/>
        <w:jc w:val="left"/>
        <w:outlineLvl w:val="0"/>
        <w:rPr>
          <w:rFonts w:ascii="黑体" w:hAnsi="黑体" w:eastAsia="黑体"/>
          <w:sz w:val="32"/>
          <w:szCs w:val="32"/>
        </w:rPr>
      </w:pPr>
      <w:r>
        <w:rPr>
          <w:rFonts w:hint="eastAsia" w:ascii="黑体" w:hAnsi="黑体" w:eastAsia="黑体"/>
          <w:sz w:val="32"/>
          <w:szCs w:val="32"/>
        </w:rPr>
        <w:t>附件一外商投资企业投诉流程图</w:t>
      </w:r>
    </w:p>
    <w:p>
      <w:pPr>
        <w:widowControl/>
        <w:jc w:val="left"/>
        <w:rPr>
          <w:rFonts w:ascii="宋体" w:hAnsi="宋体" w:cs="宋体"/>
          <w:kern w:val="0"/>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1937385</wp:posOffset>
                </wp:positionH>
                <wp:positionV relativeFrom="paragraph">
                  <wp:posOffset>4986020</wp:posOffset>
                </wp:positionV>
                <wp:extent cx="990600" cy="219075"/>
                <wp:effectExtent l="0" t="0" r="0" b="9525"/>
                <wp:wrapNone/>
                <wp:docPr id="1" name="文本框 4"/>
                <wp:cNvGraphicFramePr/>
                <a:graphic xmlns:a="http://schemas.openxmlformats.org/drawingml/2006/main">
                  <a:graphicData uri="http://schemas.microsoft.com/office/word/2010/wordprocessingShape">
                    <wps:wsp>
                      <wps:cNvSpPr txBox="1"/>
                      <wps:spPr>
                        <a:xfrm>
                          <a:off x="0" y="0"/>
                          <a:ext cx="990600" cy="219075"/>
                        </a:xfrm>
                        <a:prstGeom prst="rect">
                          <a:avLst/>
                        </a:prstGeom>
                        <a:solidFill>
                          <a:srgbClr val="FFFFFF"/>
                        </a:solidFill>
                        <a:ln w="9525">
                          <a:noFill/>
                        </a:ln>
                      </wps:spPr>
                      <wps:txbx>
                        <w:txbxContent>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firstLine="0" w:firstLineChars="0"/>
                              <w:jc w:val="center"/>
                              <w:textAlignment w:val="auto"/>
                              <w:outlineLvl w:val="9"/>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pPr>
                            <w:r>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t>30个工作日</w:t>
                            </w:r>
                          </w:p>
                        </w:txbxContent>
                      </wps:txbx>
                      <wps:bodyPr upright="1"/>
                    </wps:wsp>
                  </a:graphicData>
                </a:graphic>
              </wp:anchor>
            </w:drawing>
          </mc:Choice>
          <mc:Fallback>
            <w:pict>
              <v:shape id="文本框 4" o:spid="_x0000_s1026" o:spt="202" type="#_x0000_t202" style="position:absolute;left:0pt;margin-left:152.55pt;margin-top:392.6pt;height:17.25pt;width:78pt;z-index:251661312;mso-width-relative:page;mso-height-relative:page;" fillcolor="#FFFFFF" filled="t" stroked="f" coordsize="21600,21600" o:gfxdata="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p3bLrZAAAA&#10;CwEAAA8AAAAAAAAAAQAgAAAAIgAAAGRycy9kb3ducmV2LnhtbFBLAQIUABQAAAAIAIdO4kC3YNY7&#10;qgEAADEDAAAOAAAAAAAAAAEAIAAAACgBAABkcnMvZTJvRG9jLnhtbFBLBQYAAAAABgAGAFkBAABE&#10;BQ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firstLine="0" w:firstLineChars="0"/>
                        <w:jc w:val="center"/>
                        <w:textAlignment w:val="auto"/>
                        <w:outlineLvl w:val="9"/>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pPr>
                      <w:r>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t>30个工作日</w:t>
                      </w:r>
                    </w:p>
                  </w:txbxContent>
                </v:textbox>
              </v:shape>
            </w:pict>
          </mc:Fallback>
        </mc:AlternateContent>
      </w:r>
      <w:r>
        <w:rPr>
          <w:sz w:val="24"/>
        </w:rPr>
        <mc:AlternateContent>
          <mc:Choice Requires="wps">
            <w:drawing>
              <wp:anchor distT="0" distB="0" distL="114300" distR="114300" simplePos="0" relativeHeight="251665408" behindDoc="0" locked="0" layoutInCell="1" allowOverlap="1">
                <wp:simplePos x="0" y="0"/>
                <wp:positionH relativeFrom="column">
                  <wp:posOffset>1918335</wp:posOffset>
                </wp:positionH>
                <wp:positionV relativeFrom="paragraph">
                  <wp:posOffset>5281295</wp:posOffset>
                </wp:positionV>
                <wp:extent cx="1133475" cy="533400"/>
                <wp:effectExtent l="0" t="0" r="9525" b="0"/>
                <wp:wrapNone/>
                <wp:docPr id="3" name="文本框 5"/>
                <wp:cNvGraphicFramePr/>
                <a:graphic xmlns:a="http://schemas.openxmlformats.org/drawingml/2006/main">
                  <a:graphicData uri="http://schemas.microsoft.com/office/word/2010/wordprocessingShape">
                    <wps:wsp>
                      <wps:cNvSpPr txBox="1"/>
                      <wps:spPr>
                        <a:xfrm>
                          <a:off x="0" y="0"/>
                          <a:ext cx="1133475" cy="533400"/>
                        </a:xfrm>
                        <a:prstGeom prst="rect">
                          <a:avLst/>
                        </a:prstGeom>
                        <a:solidFill>
                          <a:srgbClr val="FFFFFF"/>
                        </a:solidFill>
                        <a:ln w="9525">
                          <a:noFill/>
                        </a:ln>
                      </wps:spPr>
                      <wps:txbx>
                        <w:txbxContent>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pPr>
                            <w:r>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t>可适当延长，最终处理终时不超过半年。</w:t>
                            </w:r>
                          </w:p>
                        </w:txbxContent>
                      </wps:txbx>
                      <wps:bodyPr upright="1"/>
                    </wps:wsp>
                  </a:graphicData>
                </a:graphic>
              </wp:anchor>
            </w:drawing>
          </mc:Choice>
          <mc:Fallback>
            <w:pict>
              <v:shape id="文本框 5" o:spid="_x0000_s1026" o:spt="202" type="#_x0000_t202" style="position:absolute;left:0pt;margin-left:151.05pt;margin-top:415.85pt;height:42pt;width:89.25pt;z-index:251665408;mso-width-relative:page;mso-height-relative:page;" fillcolor="#FFFFFF" filled="t" stroked="f" coordsize="21600,21600" o:gfxdata="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7jS5LZ&#10;AAAACwEAAA8AAAAAAAAAAQAgAAAAIgAAAGRycy9kb3ducmV2LnhtbFBLAQIUABQAAAAIAIdO4kDp&#10;Bw7JrQEAADIDAAAOAAAAAAAAAAEAIAAAACgBAABkcnMvZTJvRG9jLnhtbFBLBQYAAAAABgAGAFkB&#10;AABHBQAAAAA=&#10;">
                <v:fill on="t" focussize="0,0"/>
                <v:stroke on="f"/>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firstLine="0" w:firstLineChars="0"/>
                        <w:jc w:val="left"/>
                        <w:textAlignment w:val="auto"/>
                        <w:outlineLvl w:val="9"/>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pPr>
                      <w:r>
                        <w:rPr>
                          <w:rFonts w:hint="eastAsia" w:ascii="宋体" w:hAnsi="宋体" w:eastAsia="宋体" w:cs="宋体"/>
                          <w:b/>
                          <w:bCs/>
                          <w:color w:val="808080" w:themeColor="text1" w:themeTint="80"/>
                          <w:sz w:val="18"/>
                          <w:szCs w:val="18"/>
                          <w:lang w:val="en-US" w:eastAsia="zh-CN"/>
                          <w14:textFill>
                            <w14:solidFill>
                              <w14:schemeClr w14:val="tx1">
                                <w14:lumMod w14:val="50000"/>
                                <w14:lumOff w14:val="50000"/>
                              </w14:schemeClr>
                            </w14:solidFill>
                          </w14:textFill>
                        </w:rPr>
                        <w:t>可适当延长，最终处理终时不超过半年。</w:t>
                      </w:r>
                    </w:p>
                  </w:txbxContent>
                </v:textbox>
              </v:shape>
            </w:pict>
          </mc:Fallback>
        </mc:AlternateContent>
      </w:r>
      <w:r>
        <w:rPr>
          <w:rFonts w:hint="eastAsia" w:ascii="仿宋_GB2312" w:hAnsi="仿宋_GB2312"/>
          <w:sz w:val="24"/>
        </w:rPr>
        <w:drawing>
          <wp:anchor distT="0" distB="0" distL="0" distR="0" simplePos="0" relativeHeight="251660288" behindDoc="0" locked="0" layoutInCell="1" allowOverlap="1">
            <wp:simplePos x="0" y="0"/>
            <wp:positionH relativeFrom="column">
              <wp:posOffset>-647065</wp:posOffset>
            </wp:positionH>
            <wp:positionV relativeFrom="paragraph">
              <wp:posOffset>19050</wp:posOffset>
            </wp:positionV>
            <wp:extent cx="6578600" cy="7771130"/>
            <wp:effectExtent l="19050" t="0" r="0" b="0"/>
            <wp:wrapSquare wrapText="bothSides"/>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noChangeArrowheads="1"/>
                    </pic:cNvPicPr>
                  </pic:nvPicPr>
                  <pic:blipFill>
                    <a:blip r:embed="rId5" cstate="print"/>
                    <a:srcRect b="5646"/>
                    <a:stretch>
                      <a:fillRect/>
                    </a:stretch>
                  </pic:blipFill>
                  <pic:spPr>
                    <a:xfrm>
                      <a:off x="0" y="0"/>
                      <a:ext cx="6578600" cy="7771130"/>
                    </a:xfrm>
                    <a:prstGeom prst="rect">
                      <a:avLst/>
                    </a:prstGeom>
                    <a:noFill/>
                    <a:ln w="9525">
                      <a:noFill/>
                      <a:miter lim="800000"/>
                      <a:headEnd/>
                      <a:tailEnd/>
                    </a:ln>
                    <a:effectLst/>
                  </pic:spPr>
                </pic:pic>
              </a:graphicData>
            </a:graphic>
          </wp:anchor>
        </w:drawing>
      </w:r>
    </w:p>
    <w:p>
      <w:pPr>
        <w:widowControl/>
        <w:rPr>
          <w:rFonts w:ascii="宋体" w:hAnsi="宋体" w:cs="宋体"/>
          <w:kern w:val="0"/>
          <w:sz w:val="24"/>
        </w:rPr>
      </w:pPr>
    </w:p>
    <w:p>
      <w:pPr>
        <w:spacing w:line="560" w:lineRule="exact"/>
        <w:jc w:val="left"/>
        <w:outlineLvl w:val="0"/>
        <w:rPr>
          <w:rFonts w:ascii="黑体" w:hAnsi="黑体" w:eastAsia="黑体"/>
          <w:sz w:val="32"/>
          <w:szCs w:val="32"/>
        </w:rPr>
      </w:pPr>
      <w:r>
        <w:rPr>
          <w:rFonts w:hint="eastAsia" w:ascii="黑体" w:hAnsi="黑体" w:eastAsia="黑体"/>
          <w:sz w:val="32"/>
          <w:szCs w:val="32"/>
        </w:rPr>
        <w:t>附件二外商投资企业投诉书模板</w:t>
      </w:r>
    </w:p>
    <w:p>
      <w:pPr>
        <w:spacing w:beforeLines="100"/>
        <w:ind w:firstLine="602" w:firstLineChars="200"/>
        <w:jc w:val="center"/>
        <w:rPr>
          <w:rFonts w:hint="eastAsia" w:ascii="宋体" w:hAnsi="宋体"/>
          <w:b/>
          <w:bCs/>
          <w:kern w:val="0"/>
          <w:sz w:val="30"/>
          <w:szCs w:val="30"/>
        </w:rPr>
      </w:pPr>
      <w:r>
        <w:rPr>
          <w:rFonts w:hint="eastAsia" w:ascii="宋体" w:hAnsi="宋体"/>
          <w:b/>
          <w:bCs/>
          <w:kern w:val="0"/>
          <w:sz w:val="30"/>
          <w:szCs w:val="30"/>
        </w:rPr>
        <w:t>外商投资企业投诉书</w:t>
      </w:r>
    </w:p>
    <w:p>
      <w:pPr>
        <w:spacing w:line="560" w:lineRule="exact"/>
        <w:rPr>
          <w:rFonts w:hint="eastAsia" w:ascii="仿宋_GB2312" w:hAnsi="仿宋_GB2312" w:eastAsia="仿宋_GB2312" w:cs="仿宋_GB2312"/>
          <w:sz w:val="30"/>
          <w:szCs w:val="30"/>
          <w:lang w:val="en-US" w:eastAsia="zh-CN"/>
          <w14:textFill>
            <w14:gradFill>
              <w14:gsLst>
                <w14:gs w14:pos="0">
                  <w14:srgbClr w14:val="E30000"/>
                </w14:gs>
                <w14:gs w14:pos="100000">
                  <w14:srgbClr w14:val="760303"/>
                </w14:gs>
              </w14:gsLst>
              <w14:lin/>
            </w14:gradFill>
          </w14:textFill>
        </w:rPr>
      </w:pPr>
    </w:p>
    <w:p>
      <w:pPr>
        <w:spacing w:line="560" w:lineRule="exact"/>
        <w:rPr>
          <w:rFonts w:hint="eastAsia" w:ascii="宋体" w:hAnsi="宋体"/>
          <w:kern w:val="0"/>
          <w:sz w:val="24"/>
          <w14:textFill>
            <w14:gradFill>
              <w14:gsLst>
                <w14:gs w14:pos="0">
                  <w14:srgbClr w14:val="E30000"/>
                </w14:gs>
                <w14:gs w14:pos="100000">
                  <w14:srgbClr w14:val="760303"/>
                </w14:gs>
              </w14:gsLst>
              <w14:lin/>
            </w14:gradFill>
          </w14:textFill>
        </w:rPr>
      </w:pPr>
      <w:r>
        <w:rPr>
          <w:rFonts w:hint="eastAsia" w:ascii="宋体" w:hAnsi="宋体"/>
          <w:kern w:val="0"/>
          <w:sz w:val="24"/>
          <w:lang w:val="en-US" w:eastAsia="zh-CN"/>
          <w14:textFill>
            <w14:gradFill>
              <w14:gsLst>
                <w14:gs w14:pos="0">
                  <w14:srgbClr w14:val="E30000"/>
                </w14:gs>
                <w14:gs w14:pos="100000">
                  <w14:srgbClr w14:val="760303"/>
                </w14:gs>
              </w14:gsLst>
              <w14:lin/>
            </w14:gradFill>
          </w14:textFill>
        </w:rPr>
        <w:t>福建自贸试验区福州片区管委会经济发展局</w:t>
      </w:r>
      <w:r>
        <w:rPr>
          <w:rFonts w:hint="eastAsia" w:ascii="宋体" w:hAnsi="宋体"/>
          <w:kern w:val="0"/>
          <w:sz w:val="24"/>
          <w14:textFill>
            <w14:gradFill>
              <w14:gsLst>
                <w14:gs w14:pos="0">
                  <w14:srgbClr w14:val="E30000"/>
                </w14:gs>
                <w14:gs w14:pos="100000">
                  <w14:srgbClr w14:val="760303"/>
                </w14:gs>
              </w14:gsLst>
              <w14:lin/>
            </w14:gradFill>
          </w14:textFill>
        </w:rPr>
        <w:t>:</w:t>
      </w:r>
    </w:p>
    <w:p>
      <w:pPr>
        <w:spacing w:line="560" w:lineRule="exact"/>
        <w:ind w:firstLine="482" w:firstLineChars="200"/>
        <w:rPr>
          <w:rFonts w:ascii="宋体" w:hAnsi="宋体"/>
          <w:kern w:val="0"/>
          <w:sz w:val="24"/>
        </w:rPr>
      </w:pPr>
      <w:r>
        <w:rPr>
          <w:rFonts w:hint="eastAsia" w:ascii="宋体" w:hAnsi="宋体"/>
          <w:b/>
          <w:kern w:val="0"/>
          <w:sz w:val="24"/>
        </w:rPr>
        <w:t>投诉人</w:t>
      </w:r>
      <w:r>
        <w:rPr>
          <w:rFonts w:hint="eastAsia" w:ascii="宋体" w:hAnsi="宋体"/>
          <w:kern w:val="0"/>
          <w:sz w:val="24"/>
        </w:rPr>
        <w:t>：本企业或本人的信息(包括投诉人及委托代理人的姓名、国籍、单位、通讯地址、邮编、有关联系人及其中国大陆可联系的固定电话或移动电话等；如有受委托人，须出具授权委托书、受委托人身份证明及联系方式)。</w:t>
      </w:r>
    </w:p>
    <w:p>
      <w:pPr>
        <w:spacing w:line="560" w:lineRule="exact"/>
        <w:ind w:firstLine="482" w:firstLineChars="200"/>
        <w:rPr>
          <w:rFonts w:ascii="宋体" w:hAnsi="宋体"/>
          <w:kern w:val="0"/>
          <w:sz w:val="24"/>
        </w:rPr>
      </w:pPr>
      <w:r>
        <w:rPr>
          <w:rFonts w:hint="eastAsia" w:ascii="宋体" w:hAnsi="宋体"/>
          <w:b/>
          <w:kern w:val="0"/>
          <w:sz w:val="24"/>
        </w:rPr>
        <w:t>被投诉人</w:t>
      </w:r>
      <w:r>
        <w:rPr>
          <w:rFonts w:hint="eastAsia" w:ascii="宋体" w:hAnsi="宋体"/>
          <w:kern w:val="0"/>
          <w:sz w:val="24"/>
        </w:rPr>
        <w:t>：单位名称及工作人员姓名、通讯地址、邮编、有关联系人和联系方式。</w:t>
      </w:r>
    </w:p>
    <w:p>
      <w:pPr>
        <w:spacing w:line="560" w:lineRule="exact"/>
        <w:ind w:firstLine="480" w:firstLineChars="200"/>
        <w:rPr>
          <w:rFonts w:ascii="宋体" w:hAnsi="宋体"/>
          <w:kern w:val="0"/>
          <w:sz w:val="24"/>
        </w:rPr>
      </w:pPr>
      <w:r>
        <w:rPr>
          <w:rFonts w:hint="eastAsia" w:ascii="宋体" w:hAnsi="宋体"/>
          <w:kern w:val="0"/>
          <w:sz w:val="24"/>
        </w:rPr>
        <w:t>一、投诉事项及明确诉求（明确概括、合法合理）；</w:t>
      </w:r>
    </w:p>
    <w:p>
      <w:pPr>
        <w:spacing w:line="560" w:lineRule="exact"/>
        <w:ind w:firstLine="480" w:firstLineChars="200"/>
        <w:rPr>
          <w:rFonts w:ascii="宋体" w:hAnsi="宋体"/>
          <w:kern w:val="0"/>
          <w:sz w:val="24"/>
        </w:rPr>
      </w:pPr>
      <w:r>
        <w:rPr>
          <w:rFonts w:hint="eastAsia" w:ascii="宋体" w:hAnsi="宋体"/>
          <w:kern w:val="0"/>
          <w:sz w:val="24"/>
        </w:rPr>
        <w:t>二、有关事实、证据和理由，如有相关法律依据可以一并提供；</w:t>
      </w:r>
    </w:p>
    <w:p>
      <w:pPr>
        <w:spacing w:line="560" w:lineRule="exact"/>
        <w:ind w:firstLine="426"/>
        <w:jc w:val="left"/>
        <w:rPr>
          <w:rFonts w:ascii="宋体" w:hAnsi="宋体"/>
          <w:kern w:val="0"/>
          <w:sz w:val="24"/>
        </w:rPr>
      </w:pPr>
      <w:r>
        <w:rPr>
          <w:rFonts w:hint="eastAsia" w:ascii="宋体" w:hAnsi="宋体"/>
          <w:kern w:val="0"/>
          <w:sz w:val="24"/>
        </w:rPr>
        <w:t>三、投诉人承诺：该投诉事项此前并未经信访等部门受理或处理终结；同时，该投诉事项此前未经行政复议、行政诉讼程序。</w:t>
      </w:r>
    </w:p>
    <w:p>
      <w:pPr>
        <w:spacing w:line="560" w:lineRule="exact"/>
        <w:ind w:firstLine="480" w:firstLineChars="200"/>
        <w:rPr>
          <w:rFonts w:ascii="宋体" w:hAnsi="宋体"/>
          <w:kern w:val="0"/>
          <w:sz w:val="24"/>
        </w:rPr>
      </w:pPr>
    </w:p>
    <w:p>
      <w:pPr>
        <w:spacing w:line="560" w:lineRule="exact"/>
        <w:ind w:firstLine="645"/>
        <w:jc w:val="right"/>
        <w:rPr>
          <w:rFonts w:ascii="宋体" w:hAnsi="宋体"/>
          <w:kern w:val="0"/>
          <w:sz w:val="24"/>
        </w:rPr>
      </w:pPr>
    </w:p>
    <w:p>
      <w:pPr>
        <w:spacing w:line="560" w:lineRule="exact"/>
        <w:ind w:firstLine="645"/>
        <w:jc w:val="right"/>
        <w:rPr>
          <w:rFonts w:ascii="宋体" w:hAnsi="宋体"/>
          <w:kern w:val="0"/>
          <w:sz w:val="24"/>
        </w:rPr>
      </w:pPr>
      <w:r>
        <w:rPr>
          <w:rFonts w:hint="eastAsia" w:ascii="宋体" w:hAnsi="宋体"/>
          <w:kern w:val="0"/>
          <w:sz w:val="24"/>
        </w:rPr>
        <w:t>投诉人：___(签名或盖章)</w:t>
      </w:r>
    </w:p>
    <w:p>
      <w:pPr>
        <w:spacing w:line="560" w:lineRule="exact"/>
        <w:ind w:firstLine="645"/>
        <w:jc w:val="right"/>
        <w:rPr>
          <w:rFonts w:ascii="宋体" w:hAnsi="宋体"/>
          <w:kern w:val="0"/>
          <w:sz w:val="24"/>
        </w:rPr>
      </w:pPr>
      <w:r>
        <w:rPr>
          <w:rFonts w:hint="eastAsia" w:ascii="宋体" w:hAnsi="宋体"/>
          <w:kern w:val="0"/>
          <w:sz w:val="24"/>
        </w:rPr>
        <w:t>XXXX年XX月XX日</w:t>
      </w:r>
    </w:p>
    <w:p>
      <w:pPr>
        <w:spacing w:line="560" w:lineRule="exact"/>
        <w:ind w:firstLine="645"/>
        <w:jc w:val="right"/>
        <w:rPr>
          <w:rFonts w:ascii="宋体" w:hAnsi="宋体"/>
          <w:kern w:val="0"/>
          <w:sz w:val="24"/>
        </w:rPr>
      </w:pPr>
    </w:p>
    <w:p>
      <w:pPr>
        <w:spacing w:line="560" w:lineRule="exact"/>
        <w:ind w:firstLine="426"/>
        <w:jc w:val="left"/>
        <w:rPr>
          <w:rFonts w:ascii="宋体" w:hAnsi="宋体"/>
          <w:kern w:val="0"/>
          <w:sz w:val="24"/>
        </w:rPr>
      </w:pPr>
      <w:r>
        <w:rPr>
          <w:rFonts w:hint="eastAsia" w:ascii="宋体" w:hAnsi="宋体"/>
          <w:kern w:val="0"/>
          <w:sz w:val="24"/>
        </w:rPr>
        <w:t>附：1.投诉材料清单目录；2.副本</w:t>
      </w:r>
      <w:r>
        <w:rPr>
          <w:rFonts w:hint="eastAsia" w:ascii="宋体" w:hAnsi="宋体"/>
          <w:kern w:val="0"/>
          <w:sz w:val="24"/>
          <w:u w:val="single"/>
        </w:rPr>
        <w:t xml:space="preserve">    </w:t>
      </w:r>
      <w:r>
        <w:rPr>
          <w:rFonts w:hint="eastAsia" w:ascii="宋体" w:hAnsi="宋体"/>
          <w:kern w:val="0"/>
          <w:sz w:val="24"/>
        </w:rPr>
        <w:t>份。</w:t>
      </w:r>
    </w:p>
    <w:p>
      <w:pPr>
        <w:spacing w:line="560" w:lineRule="exact"/>
        <w:ind w:firstLine="426"/>
        <w:jc w:val="left"/>
        <w:rPr>
          <w:rFonts w:ascii="宋体" w:hAnsi="宋体"/>
          <w:b/>
          <w:bCs/>
          <w:kern w:val="0"/>
          <w:sz w:val="24"/>
        </w:rPr>
      </w:pPr>
      <w:r>
        <w:rPr>
          <w:rFonts w:hint="eastAsia" w:ascii="宋体" w:hAnsi="宋体"/>
          <w:b/>
          <w:bCs/>
          <w:kern w:val="0"/>
          <w:sz w:val="32"/>
          <w:szCs w:val="32"/>
        </w:rPr>
        <w:t xml:space="preserve"> </w:t>
      </w:r>
      <w:r>
        <w:rPr>
          <w:rFonts w:hint="eastAsia" w:ascii="宋体" w:hAnsi="宋体"/>
          <w:b/>
          <w:bCs/>
          <w:kern w:val="0"/>
          <w:sz w:val="24"/>
        </w:rPr>
        <w:t>注意事项：</w:t>
      </w:r>
    </w:p>
    <w:p>
      <w:pPr>
        <w:spacing w:line="400" w:lineRule="exact"/>
        <w:ind w:firstLine="426"/>
        <w:rPr>
          <w:rFonts w:ascii="宋体" w:hAnsi="宋体"/>
          <w:kern w:val="0"/>
          <w:sz w:val="24"/>
        </w:rPr>
      </w:pPr>
      <w:r>
        <w:rPr>
          <w:rFonts w:hint="eastAsia" w:ascii="宋体" w:hAnsi="宋体"/>
          <w:kern w:val="0"/>
          <w:sz w:val="24"/>
        </w:rPr>
        <w:t>1.投诉材料中应当包括投诉人的主体资格证明材料。</w:t>
      </w:r>
    </w:p>
    <w:p>
      <w:pPr>
        <w:spacing w:line="400" w:lineRule="exact"/>
        <w:ind w:firstLine="426"/>
        <w:rPr>
          <w:rFonts w:ascii="宋体" w:hAnsi="宋体"/>
          <w:kern w:val="0"/>
          <w:sz w:val="24"/>
        </w:rPr>
      </w:pPr>
      <w:r>
        <w:rPr>
          <w:rFonts w:hint="eastAsia" w:ascii="宋体" w:hAnsi="宋体"/>
          <w:kern w:val="0"/>
          <w:sz w:val="24"/>
        </w:rPr>
        <w:t>2.投诉书应以中文书写或打印，有关证据和材料原件以外文书写的，应当提交准确、完整的中文翻译件。</w:t>
      </w:r>
    </w:p>
    <w:p>
      <w:pPr>
        <w:spacing w:line="400" w:lineRule="exact"/>
        <w:ind w:firstLine="426"/>
        <w:rPr>
          <w:rFonts w:ascii="仿宋_GB2312" w:eastAsia="仿宋_GB2312"/>
          <w:sz w:val="32"/>
          <w:szCs w:val="32"/>
        </w:rPr>
      </w:pPr>
      <w:r>
        <w:rPr>
          <w:rFonts w:hint="eastAsia" w:ascii="宋体" w:hAnsi="宋体"/>
          <w:kern w:val="0"/>
          <w:sz w:val="24"/>
        </w:rPr>
        <w:t>3.投诉书副本份数，应按被投诉人的单位数量提交。</w:t>
      </w:r>
    </w:p>
    <w:sectPr>
      <w:footerReference r:id="rId3" w:type="default"/>
      <w:pgSz w:w="11906" w:h="16838"/>
      <w:pgMar w:top="1701"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6732124"/>
    </w:sdtPr>
    <w:sdtEndPr>
      <w:rPr>
        <w:sz w:val="21"/>
        <w:szCs w:val="21"/>
      </w:rPr>
    </w:sdtEndPr>
    <w:sdtContent>
      <w:p>
        <w:pPr>
          <w:pStyle w:val="2"/>
          <w:jc w:val="center"/>
          <w:rPr>
            <w:sz w:val="21"/>
            <w:szCs w:val="21"/>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1</w:t>
        </w:r>
        <w:r>
          <w:rPr>
            <w:sz w:val="24"/>
            <w:szCs w:val="24"/>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3CE"/>
    <w:rsid w:val="003953CE"/>
    <w:rsid w:val="004E7C25"/>
    <w:rsid w:val="005839E9"/>
    <w:rsid w:val="008609AD"/>
    <w:rsid w:val="009768F7"/>
    <w:rsid w:val="00976B4C"/>
    <w:rsid w:val="00B0406C"/>
    <w:rsid w:val="00B52F54"/>
    <w:rsid w:val="00C70D31"/>
    <w:rsid w:val="00C81412"/>
    <w:rsid w:val="00F56305"/>
    <w:rsid w:val="00FE0248"/>
    <w:rsid w:val="05D92330"/>
    <w:rsid w:val="08002F9B"/>
    <w:rsid w:val="082660FA"/>
    <w:rsid w:val="0B8D6348"/>
    <w:rsid w:val="0E396063"/>
    <w:rsid w:val="16FA70CB"/>
    <w:rsid w:val="1AFA4C6F"/>
    <w:rsid w:val="1B570E0E"/>
    <w:rsid w:val="1ED65C88"/>
    <w:rsid w:val="23516107"/>
    <w:rsid w:val="295E2F37"/>
    <w:rsid w:val="2CFA686D"/>
    <w:rsid w:val="3A1D65FA"/>
    <w:rsid w:val="3C7B4882"/>
    <w:rsid w:val="43961F6D"/>
    <w:rsid w:val="48E90E9C"/>
    <w:rsid w:val="4CD11460"/>
    <w:rsid w:val="502A38AD"/>
    <w:rsid w:val="52B04F2D"/>
    <w:rsid w:val="604F76CA"/>
    <w:rsid w:val="667F7159"/>
    <w:rsid w:val="68B820E8"/>
    <w:rsid w:val="6F201361"/>
    <w:rsid w:val="71612910"/>
    <w:rsid w:val="77346D5E"/>
    <w:rsid w:val="7D2A5057"/>
    <w:rsid w:val="7F161C2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6">
    <w:name w:val="Hyperlink"/>
    <w:basedOn w:val="5"/>
    <w:unhideWhenUsed/>
    <w:qFormat/>
    <w:uiPriority w:val="99"/>
    <w:rPr>
      <w:color w:val="0000FF"/>
      <w:u w:val="none"/>
    </w:rPr>
  </w:style>
  <w:style w:type="paragraph" w:customStyle="1" w:styleId="8">
    <w:name w:val="List Paragraph"/>
    <w:basedOn w:val="1"/>
    <w:qFormat/>
    <w:uiPriority w:val="34"/>
    <w:pPr>
      <w:ind w:firstLine="420" w:firstLineChars="200"/>
    </w:p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qFormat/>
    <w:uiPriority w:val="99"/>
    <w:rPr>
      <w:sz w:val="18"/>
      <w:szCs w:val="18"/>
    </w:rPr>
  </w:style>
  <w:style w:type="character" w:customStyle="1" w:styleId="11">
    <w:name w:val="l-btn-icon-right"/>
    <w:basedOn w:val="5"/>
    <w:qFormat/>
    <w:uiPriority w:val="0"/>
  </w:style>
  <w:style w:type="character" w:customStyle="1" w:styleId="12">
    <w:name w:val="l-btn-empty"/>
    <w:basedOn w:val="5"/>
    <w:qFormat/>
    <w:uiPriority w:val="0"/>
  </w:style>
  <w:style w:type="character" w:customStyle="1" w:styleId="13">
    <w:name w:val="l-btn-left2"/>
    <w:basedOn w:val="5"/>
    <w:qFormat/>
    <w:uiPriority w:val="0"/>
  </w:style>
  <w:style w:type="character" w:customStyle="1" w:styleId="14">
    <w:name w:val="l-btn-left3"/>
    <w:basedOn w:val="5"/>
    <w:qFormat/>
    <w:uiPriority w:val="0"/>
  </w:style>
  <w:style w:type="character" w:customStyle="1" w:styleId="15">
    <w:name w:val="l-btn-left4"/>
    <w:basedOn w:val="5"/>
    <w:qFormat/>
    <w:uiPriority w:val="0"/>
  </w:style>
  <w:style w:type="character" w:customStyle="1" w:styleId="16">
    <w:name w:val="l-btn-left5"/>
    <w:basedOn w:val="5"/>
    <w:qFormat/>
    <w:uiPriority w:val="0"/>
  </w:style>
  <w:style w:type="character" w:customStyle="1" w:styleId="17">
    <w:name w:val="l-btn-icon-left"/>
    <w:basedOn w:val="5"/>
    <w:qFormat/>
    <w:uiPriority w:val="0"/>
  </w:style>
  <w:style w:type="character" w:customStyle="1" w:styleId="18">
    <w:name w:val="l-btn-text"/>
    <w:basedOn w:val="5"/>
    <w:qFormat/>
    <w:uiPriority w:val="0"/>
    <w:rPr>
      <w:vertAlign w:val="baseline"/>
    </w:rPr>
  </w:style>
  <w:style w:type="character" w:customStyle="1" w:styleId="19">
    <w:name w:val="l-btn-left"/>
    <w:basedOn w:val="5"/>
    <w:qFormat/>
    <w:uiPriority w:val="0"/>
  </w:style>
  <w:style w:type="character" w:customStyle="1" w:styleId="20">
    <w:name w:val="l-btn-left1"/>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435</Words>
  <Characters>2484</Characters>
  <Lines>20</Lines>
  <Paragraphs>5</Paragraphs>
  <ScaleCrop>false</ScaleCrop>
  <LinksUpToDate>false</LinksUpToDate>
  <CharactersWithSpaces>2914</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2020-11-01T11:15:00Z</dcterms:created>
  <dc:creator>LX</dc:creator>
  <cp:lastModifiedBy>lenovo</cp:lastModifiedBy>
  <cp:lastPrinted>2021-03-23T08:06:44Z</cp:lastPrinted>
  <dcterms:modified xsi:type="dcterms:W3CDTF">2021-03-23T08:29:13Z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