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hint="eastAsia" w:ascii="黑体" w:eastAsia="黑体"/>
          <w:color w:val="000000"/>
          <w:sz w:val="36"/>
          <w:szCs w:val="36"/>
        </w:rPr>
      </w:pPr>
      <w:bookmarkStart w:id="0" w:name="_GoBack"/>
      <w:r>
        <w:rPr>
          <w:rFonts w:hint="eastAsia" w:ascii="黑体" w:eastAsia="黑体" w:cs="宋体"/>
          <w:color w:val="000000"/>
          <w:kern w:val="0"/>
          <w:sz w:val="36"/>
          <w:szCs w:val="36"/>
          <w:lang w:bidi="ar-SA"/>
        </w:rPr>
        <w:t>经营性互联网文化单位设立许可</w:t>
      </w:r>
      <w:r>
        <w:rPr>
          <w:rFonts w:hint="eastAsia" w:ascii="黑体" w:eastAsia="黑体"/>
          <w:color w:val="000000"/>
          <w:sz w:val="36"/>
          <w:szCs w:val="36"/>
        </w:rPr>
        <w:t>监管措施</w:t>
      </w:r>
    </w:p>
    <w:bookmarkEnd w:id="0"/>
    <w:p>
      <w:pPr>
        <w:spacing w:line="460" w:lineRule="exact"/>
        <w:rPr>
          <w:color w:val="000000"/>
          <w:sz w:val="32"/>
          <w:szCs w:val="32"/>
        </w:rPr>
      </w:pP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一、事项名称</w:t>
      </w:r>
    </w:p>
    <w:p>
      <w:pPr>
        <w:spacing w:line="560" w:lineRule="exact"/>
        <w:ind w:firstLine="640" w:firstLineChars="200"/>
        <w:rPr>
          <w:rFonts w:hint="eastAsia" w:ascii="仿宋_GB2312" w:eastAsia="仿宋_GB2312" w:cs="宋体"/>
          <w:color w:val="000000"/>
          <w:kern w:val="0"/>
          <w:sz w:val="32"/>
          <w:szCs w:val="32"/>
          <w:lang w:bidi="ar-SA"/>
        </w:rPr>
      </w:pPr>
      <w:r>
        <w:rPr>
          <w:rFonts w:hint="eastAsia" w:ascii="仿宋_GB2312" w:eastAsia="仿宋_GB2312" w:cs="宋体"/>
          <w:color w:val="000000"/>
          <w:kern w:val="0"/>
          <w:sz w:val="32"/>
          <w:szCs w:val="32"/>
          <w:lang w:bidi="ar-SA"/>
        </w:rPr>
        <w:t>经营性互联网文化单位设立许可</w:t>
      </w: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二、事项类别</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提高透明度和可预期性</w:t>
      </w: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三、监管依据</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根据《国务院对确需保留的行政审批项目设定行政许可的决定》（国务院第412号令）、《国务院关于第五批取消和下放管理层级行政审批项目的决定》（国发〔2010〕21号）、《互联网文化管理暂行规定》（文化部令第51号）、《网络游戏管理暂行办法》（文化部令第49号）、《文化部关于加强网络游戏产品内容审查工作的通知》（文市发〔2004〕14号）、《文化部关于加强和改进网络音乐内容审查工作的通知》（文市发〔2009〕31号）、《文化部关于下放经营性互联网文化单位行政许可审批工作的通知》（办市发〔2010〕23号）、《文化部关于落实“先照后证”改进文化市场行政审批工作的通知》（文市发〔2015〕627号）等相关规定进行监管。</w:t>
      </w: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四、监管措施</w:t>
      </w:r>
    </w:p>
    <w:p>
      <w:pPr>
        <w:spacing w:line="560" w:lineRule="exact"/>
        <w:ind w:firstLine="640" w:firstLineChars="200"/>
        <w:rPr>
          <w:rFonts w:hint="eastAsia" w:ascii="仿宋_GB2312" w:eastAsia="仿宋_GB2312"/>
          <w:bCs/>
          <w:color w:val="000000"/>
          <w:sz w:val="32"/>
          <w:szCs w:val="32"/>
        </w:rPr>
      </w:pPr>
      <w:r>
        <w:rPr>
          <w:rFonts w:hint="eastAsia" w:ascii="仿宋_GB2312" w:eastAsia="仿宋_GB2312" w:cs="宋体"/>
          <w:color w:val="000000"/>
          <w:kern w:val="0"/>
          <w:sz w:val="32"/>
          <w:szCs w:val="32"/>
          <w:lang w:bidi="ar-SA"/>
        </w:rPr>
        <w:t>落实科学、规范的抽查制度、责任追溯制度，建立完善常态化监管机制，采取日常巡查、随机抽查、专项督查等方式，</w:t>
      </w:r>
      <w:r>
        <w:rPr>
          <w:rFonts w:hint="eastAsia" w:ascii="仿宋_GB2312" w:eastAsia="仿宋_GB2312" w:cs="仿宋_GB2312"/>
          <w:color w:val="000000"/>
          <w:sz w:val="32"/>
          <w:szCs w:val="32"/>
          <w:lang w:bidi="ar-SA"/>
        </w:rPr>
        <w:t>建立以互联网文化经营单位日常经营活动和文化产品内容为主要管理对象的警示名单制度等多项监管措施，</w:t>
      </w:r>
      <w:r>
        <w:rPr>
          <w:rFonts w:hint="eastAsia" w:ascii="仿宋_GB2312" w:eastAsia="仿宋_GB2312" w:cs="宋体"/>
          <w:color w:val="000000"/>
          <w:kern w:val="0"/>
          <w:sz w:val="32"/>
          <w:szCs w:val="32"/>
          <w:lang w:bidi="ar-SA"/>
        </w:rPr>
        <w:t>维护互联网文化市场秩序，</w:t>
      </w:r>
      <w:r>
        <w:rPr>
          <w:rFonts w:hint="eastAsia" w:ascii="仿宋_GB2312" w:eastAsia="仿宋_GB2312"/>
          <w:bCs/>
          <w:color w:val="000000"/>
          <w:sz w:val="32"/>
          <w:szCs w:val="32"/>
        </w:rPr>
        <w:t>维护国家文化安全和意识形态安全。</w:t>
      </w:r>
    </w:p>
    <w:p>
      <w:pPr>
        <w:numPr>
          <w:ilvl w:val="0"/>
          <w:numId w:val="1"/>
        </w:numPr>
        <w:spacing w:line="560" w:lineRule="exact"/>
        <w:rPr>
          <w:rFonts w:hint="eastAsia" w:ascii="楷体_GB2312" w:eastAsia="楷体_GB2312"/>
          <w:b/>
          <w:color w:val="000000"/>
          <w:sz w:val="32"/>
          <w:szCs w:val="32"/>
        </w:rPr>
      </w:pPr>
      <w:r>
        <w:rPr>
          <w:rFonts w:hint="eastAsia" w:ascii="楷体_GB2312" w:eastAsia="楷体_GB2312"/>
          <w:b/>
          <w:color w:val="000000"/>
          <w:sz w:val="32"/>
          <w:szCs w:val="32"/>
        </w:rPr>
        <w:t>日常检查</w:t>
      </w:r>
    </w:p>
    <w:p>
      <w:pPr>
        <w:spacing w:line="560" w:lineRule="exact"/>
        <w:ind w:firstLine="640" w:firstLineChars="200"/>
        <w:rPr>
          <w:rFonts w:hint="eastAsia" w:ascii="仿宋_GB2312" w:eastAsia="仿宋_GB2312" w:cs="宋体"/>
          <w:color w:val="000000"/>
          <w:kern w:val="0"/>
          <w:sz w:val="32"/>
          <w:szCs w:val="32"/>
          <w:lang w:bidi="ar-SA"/>
        </w:rPr>
      </w:pPr>
      <w:r>
        <w:rPr>
          <w:rFonts w:hint="eastAsia" w:ascii="仿宋_GB2312" w:eastAsia="仿宋_GB2312"/>
          <w:color w:val="000000"/>
          <w:sz w:val="32"/>
          <w:szCs w:val="32"/>
        </w:rPr>
        <w:t>1.符合法定条件，准予许可后，</w:t>
      </w:r>
      <w:r>
        <w:rPr>
          <w:rFonts w:hint="eastAsia" w:ascii="仿宋_GB2312" w:eastAsia="仿宋_GB2312" w:cs="宋体"/>
          <w:color w:val="000000"/>
          <w:kern w:val="0"/>
          <w:sz w:val="32"/>
          <w:szCs w:val="32"/>
          <w:lang w:bidi="ar-SA"/>
        </w:rPr>
        <w:t>经营性互联网文化单位应当在其网站主页的显著位置标明《网络文化经营许可证》；网络游戏经营单位应当在企业网站、产品客户端、用户服务中心等显著位置标示《网络文化经营许可证》、“网络游戏用户实名注册”、“进口网络游戏审批信息”、“国产游戏备案信息”、“建立未成年人家长监护工程”等信息；经营性互联网文化单位实际经营的网站域名应当与申报信息一致，建立自审制度，明确专门部门，配备专业人员负责互联网文化产品内容和活动的自查与管理，保障互联网文化产品内容和活动的合法性。</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s="宋体"/>
          <w:color w:val="000000"/>
          <w:kern w:val="0"/>
          <w:sz w:val="32"/>
          <w:szCs w:val="32"/>
          <w:lang w:bidi="ar-SA"/>
        </w:rPr>
        <w:t>2. 经营性互联网文化单位</w:t>
      </w:r>
      <w:r>
        <w:rPr>
          <w:rFonts w:hint="eastAsia" w:ascii="仿宋_GB2312" w:eastAsia="仿宋_GB2312"/>
          <w:color w:val="000000"/>
          <w:sz w:val="32"/>
          <w:szCs w:val="32"/>
        </w:rPr>
        <w:t>不得提供载有《互联网文化管理暂行规定》第十六条和《网络游戏管理暂行办法》第九条禁止的内容。</w:t>
      </w:r>
    </w:p>
    <w:p>
      <w:pPr>
        <w:spacing w:line="560" w:lineRule="exact"/>
        <w:ind w:firstLine="640" w:firstLineChars="200"/>
        <w:rPr>
          <w:rFonts w:hint="eastAsia" w:ascii="仿宋_GB2312" w:eastAsia="仿宋_GB2312" w:cs="宋体"/>
          <w:color w:val="000000"/>
          <w:kern w:val="0"/>
          <w:sz w:val="32"/>
          <w:szCs w:val="32"/>
          <w:lang w:bidi="ar-SA"/>
        </w:rPr>
      </w:pPr>
      <w:r>
        <w:rPr>
          <w:rFonts w:hint="eastAsia" w:ascii="仿宋_GB2312" w:eastAsia="仿宋_GB2312" w:cs="宋体"/>
          <w:color w:val="000000"/>
          <w:kern w:val="0"/>
          <w:sz w:val="32"/>
          <w:szCs w:val="32"/>
          <w:lang w:bidi="ar-SA"/>
        </w:rPr>
        <w:t>3.</w:t>
      </w:r>
      <w:r>
        <w:rPr>
          <w:rFonts w:hint="eastAsia" w:ascii="仿宋_GB2312" w:eastAsia="仿宋_GB2312"/>
          <w:color w:val="000000"/>
          <w:sz w:val="32"/>
          <w:szCs w:val="32"/>
        </w:rPr>
        <w:t>凡取得《</w:t>
      </w:r>
      <w:r>
        <w:rPr>
          <w:rFonts w:hint="eastAsia" w:ascii="仿宋_GB2312" w:eastAsia="仿宋_GB2312" w:cs="宋体"/>
          <w:color w:val="000000"/>
          <w:kern w:val="0"/>
          <w:sz w:val="32"/>
          <w:szCs w:val="32"/>
          <w:lang w:bidi="ar-SA"/>
        </w:rPr>
        <w:t>网络文化经营</w:t>
      </w:r>
      <w:r>
        <w:rPr>
          <w:rFonts w:hint="eastAsia" w:ascii="仿宋_GB2312" w:eastAsia="仿宋_GB2312"/>
          <w:color w:val="000000"/>
          <w:sz w:val="32"/>
          <w:szCs w:val="32"/>
        </w:rPr>
        <w:t>许可证》的</w:t>
      </w:r>
      <w:r>
        <w:rPr>
          <w:rFonts w:hint="eastAsia" w:ascii="仿宋_GB2312" w:eastAsia="仿宋_GB2312" w:cs="宋体"/>
          <w:color w:val="000000"/>
          <w:kern w:val="0"/>
          <w:sz w:val="32"/>
          <w:szCs w:val="32"/>
          <w:lang w:bidi="ar-SA"/>
        </w:rPr>
        <w:t>经营性互联网文化单位</w:t>
      </w:r>
      <w:r>
        <w:rPr>
          <w:rFonts w:hint="eastAsia" w:ascii="仿宋_GB2312" w:eastAsia="仿宋_GB2312"/>
          <w:color w:val="000000"/>
          <w:sz w:val="32"/>
          <w:szCs w:val="32"/>
        </w:rPr>
        <w:t>须参与每年年报、三年年审续证工作。</w:t>
      </w:r>
    </w:p>
    <w:p>
      <w:pPr>
        <w:spacing w:line="560" w:lineRule="exact"/>
        <w:ind w:firstLine="482" w:firstLineChars="150"/>
        <w:rPr>
          <w:rFonts w:hint="eastAsia" w:ascii="仿宋_GB2312" w:eastAsia="仿宋_GB2312"/>
          <w:color w:val="000000"/>
          <w:sz w:val="32"/>
          <w:szCs w:val="32"/>
        </w:rPr>
      </w:pPr>
      <w:r>
        <w:rPr>
          <w:rFonts w:hint="eastAsia" w:ascii="楷体_GB2312" w:eastAsia="楷体_GB2312"/>
          <w:b/>
          <w:color w:val="000000"/>
          <w:sz w:val="32"/>
          <w:szCs w:val="32"/>
        </w:rPr>
        <w:t>（二）重点复查。</w:t>
      </w:r>
      <w:r>
        <w:rPr>
          <w:rFonts w:hint="eastAsia" w:ascii="仿宋_GB2312" w:eastAsia="仿宋_GB2312"/>
          <w:color w:val="000000"/>
          <w:sz w:val="32"/>
          <w:szCs w:val="32"/>
        </w:rPr>
        <w:t>对曾被作出行政处罚或责令改正的</w:t>
      </w:r>
      <w:r>
        <w:rPr>
          <w:rFonts w:hint="eastAsia" w:ascii="仿宋_GB2312" w:eastAsia="仿宋_GB2312" w:cs="宋体"/>
          <w:color w:val="000000"/>
          <w:kern w:val="0"/>
          <w:sz w:val="32"/>
          <w:szCs w:val="32"/>
          <w:lang w:bidi="ar-SA"/>
        </w:rPr>
        <w:t>经营性互联网文化单位</w:t>
      </w:r>
      <w:r>
        <w:rPr>
          <w:rFonts w:hint="eastAsia" w:ascii="仿宋_GB2312" w:eastAsia="仿宋_GB2312"/>
          <w:color w:val="000000"/>
          <w:sz w:val="32"/>
          <w:szCs w:val="32"/>
        </w:rPr>
        <w:t>，自作出行政处罚或责令发改正开始一年内，对其经营活动给予重点巡查，对复查过程中仍发现存在问题的，给予从重处罚，情节严重者，依法注销《</w:t>
      </w:r>
      <w:r>
        <w:rPr>
          <w:rFonts w:hint="eastAsia" w:ascii="仿宋_GB2312" w:eastAsia="仿宋_GB2312" w:cs="宋体"/>
          <w:color w:val="000000"/>
          <w:kern w:val="0"/>
          <w:sz w:val="32"/>
          <w:szCs w:val="32"/>
          <w:lang w:bidi="ar-SA"/>
        </w:rPr>
        <w:t>网络文化经营</w:t>
      </w:r>
      <w:r>
        <w:rPr>
          <w:rFonts w:hint="eastAsia" w:ascii="仿宋_GB2312" w:eastAsia="仿宋_GB2312"/>
          <w:color w:val="000000"/>
          <w:sz w:val="32"/>
          <w:szCs w:val="32"/>
        </w:rPr>
        <w:t>许可证》。</w:t>
      </w:r>
    </w:p>
    <w:p>
      <w:pPr>
        <w:spacing w:line="560" w:lineRule="exact"/>
        <w:ind w:firstLine="482" w:firstLineChars="150"/>
        <w:rPr>
          <w:rFonts w:hint="eastAsia" w:ascii="仿宋_GB2312" w:eastAsia="仿宋_GB2312"/>
          <w:color w:val="000000"/>
          <w:sz w:val="32"/>
          <w:szCs w:val="32"/>
        </w:rPr>
      </w:pPr>
      <w:r>
        <w:rPr>
          <w:rFonts w:hint="eastAsia" w:ascii="楷体_GB2312" w:eastAsia="楷体_GB2312"/>
          <w:b/>
          <w:color w:val="000000"/>
          <w:sz w:val="32"/>
          <w:szCs w:val="32"/>
        </w:rPr>
        <w:t>（三）举报核查。</w:t>
      </w:r>
      <w:r>
        <w:rPr>
          <w:rFonts w:hint="eastAsia" w:ascii="仿宋_GB2312" w:eastAsia="仿宋_GB2312"/>
          <w:color w:val="000000"/>
          <w:sz w:val="32"/>
          <w:szCs w:val="32"/>
        </w:rPr>
        <w:t>对各类举报渠道接收到的举报信息进行核查。对被许可人资格及其经营范围的投诉举报在第一时间受理并进行核查。核查中发现确实存在问题的，开具整改通知单，并跟踪落实整改情况，直至整改到位。对违反《互联网文化管理暂行规定》第十三条、第十六条和《网络游戏管理暂行办法》第九条、第八条第一款、第十一条、第十二条第二款和第十四条第一款的规定，责令整改，没收违法所得，并处10000元以上30000元以下罚款；情节严重的，责令停业整顿直至吊销《</w:t>
      </w:r>
      <w:r>
        <w:rPr>
          <w:rFonts w:hint="eastAsia" w:ascii="仿宋_GB2312" w:eastAsia="仿宋_GB2312" w:cs="宋体"/>
          <w:color w:val="000000"/>
          <w:kern w:val="0"/>
          <w:sz w:val="32"/>
          <w:szCs w:val="32"/>
          <w:lang w:bidi="ar-SA"/>
        </w:rPr>
        <w:t>网络文化经营</w:t>
      </w:r>
      <w:r>
        <w:rPr>
          <w:rFonts w:hint="eastAsia" w:ascii="仿宋_GB2312" w:eastAsia="仿宋_GB2312"/>
          <w:color w:val="000000"/>
          <w:sz w:val="32"/>
          <w:szCs w:val="32"/>
        </w:rPr>
        <w:t>许可证》；构成犯罪的，依法追究刑事责任。</w:t>
      </w:r>
    </w:p>
    <w:p>
      <w:pPr>
        <w:widowControl/>
        <w:shd w:val="clear" w:color="auto" w:fill="FFFFFF"/>
        <w:spacing w:line="560" w:lineRule="exact"/>
        <w:ind w:firstLine="640" w:firstLineChars="200"/>
        <w:jc w:val="left"/>
        <w:rPr>
          <w:rFonts w:hint="eastAsia" w:ascii="黑体" w:eastAsia="黑体" w:cs="宋体"/>
          <w:color w:val="000000"/>
          <w:kern w:val="0"/>
          <w:sz w:val="32"/>
          <w:szCs w:val="32"/>
          <w:lang w:bidi="ar-SA"/>
        </w:rPr>
      </w:pPr>
      <w:r>
        <w:rPr>
          <w:rFonts w:hint="eastAsia" w:ascii="黑体" w:eastAsia="黑体" w:cs="黑体"/>
          <w:color w:val="000000"/>
          <w:sz w:val="32"/>
          <w:szCs w:val="32"/>
          <w:lang w:bidi="ar-SA"/>
        </w:rPr>
        <w:t>五、</w:t>
      </w:r>
      <w:r>
        <w:rPr>
          <w:rFonts w:hint="eastAsia" w:ascii="黑体" w:eastAsia="黑体" w:cs="宋体"/>
          <w:color w:val="000000"/>
          <w:kern w:val="0"/>
          <w:sz w:val="32"/>
          <w:szCs w:val="32"/>
          <w:lang w:bidi="ar-SA"/>
        </w:rPr>
        <w:t>监督程序</w:t>
      </w:r>
    </w:p>
    <w:p>
      <w:pPr>
        <w:spacing w:line="560" w:lineRule="exact"/>
        <w:ind w:firstLine="643" w:firstLineChars="200"/>
        <w:rPr>
          <w:rFonts w:hint="eastAsia" w:ascii="仿宋_GB2312" w:eastAsia="仿宋_GB2312"/>
          <w:color w:val="000000"/>
          <w:sz w:val="32"/>
          <w:szCs w:val="32"/>
        </w:rPr>
      </w:pPr>
      <w:r>
        <w:rPr>
          <w:rFonts w:hint="eastAsia" w:ascii="楷体_GB2312" w:eastAsia="楷体_GB2312" w:cs="宋体"/>
          <w:b/>
          <w:color w:val="000000"/>
          <w:kern w:val="0"/>
          <w:sz w:val="32"/>
          <w:szCs w:val="32"/>
          <w:lang w:bidi="ar-SA"/>
        </w:rPr>
        <w:t>（一）职责区分。</w:t>
      </w:r>
      <w:r>
        <w:rPr>
          <w:rFonts w:hint="eastAsia" w:ascii="仿宋_GB2312" w:eastAsia="仿宋_GB2312" w:cs="宋体"/>
          <w:color w:val="000000"/>
          <w:kern w:val="0"/>
          <w:sz w:val="32"/>
          <w:szCs w:val="32"/>
          <w:lang w:bidi="ar-SA"/>
        </w:rPr>
        <w:t>省文化厅委托省文化稽查总队负责全省区域内经营性互联网文化单位审批事项的事中事后监管与执法工作，督促指导设区市开展日常监管执法工作；设区市文广新局委托（受权）市文化市场综合执法支队负责辖区内经营性互联网文化单位审批事项的事中事后监管与执法工作；县区文体局委托（受权）县区文化市场综合执法大队负责辖区内经营性互联网文化单位审批事项的事中事后监管与执法工作。</w:t>
      </w:r>
    </w:p>
    <w:p>
      <w:pPr>
        <w:widowControl/>
        <w:shd w:val="clear" w:color="auto" w:fill="FFFFFF"/>
        <w:spacing w:line="560" w:lineRule="exact"/>
        <w:ind w:firstLine="643" w:firstLineChars="200"/>
        <w:jc w:val="left"/>
        <w:rPr>
          <w:rFonts w:hint="eastAsia" w:ascii="仿宋_GB2312" w:eastAsia="仿宋_GB2312" w:cs="宋体"/>
          <w:color w:val="000000"/>
          <w:kern w:val="0"/>
          <w:sz w:val="32"/>
          <w:szCs w:val="32"/>
          <w:lang w:bidi="ar-SA"/>
        </w:rPr>
      </w:pPr>
      <w:r>
        <w:rPr>
          <w:rFonts w:hint="eastAsia" w:ascii="楷体_GB2312" w:eastAsia="楷体_GB2312" w:cs="宋体"/>
          <w:b/>
          <w:color w:val="000000"/>
          <w:kern w:val="0"/>
          <w:sz w:val="32"/>
          <w:szCs w:val="32"/>
          <w:lang w:bidi="ar-SA"/>
        </w:rPr>
        <w:t>（二）日常巡查。</w:t>
      </w:r>
      <w:r>
        <w:rPr>
          <w:rFonts w:hint="eastAsia" w:ascii="仿宋_GB2312" w:eastAsia="仿宋_GB2312" w:cs="宋体"/>
          <w:color w:val="000000"/>
          <w:kern w:val="0"/>
          <w:sz w:val="32"/>
          <w:szCs w:val="32"/>
          <w:lang w:bidi="ar-SA"/>
        </w:rPr>
        <w:t>省文化稽查总队实时监控辖区内各经营性互联网文化单位网站、网络游戏内容进行监督检查，对福州、厦门辖区内互联网文化单位的网站及网络游戏网络游戏运营企业及其运营活动进行监督检查每年不少于1次；设区市文化市场综合执法支队实时监控辖区内各经营性互联网文化单位的网站，对网络游戏、网络出版、互联网视听节目内容进行监督检查，对辖区内经营性互联网文化单位、网络游戏运营企业、互联网视听节目服务单位、互联网出版单位检查每年不少于2次；县区文化市场综合执法大队实时监控辖区内各经营性互联网文化单位的网站，对网络游戏、网络出版、互联网视听节目内容进行监督检查，对辖区内经营性互联网文化单位、网络游戏运营企业、互联网视听节目服务单位、互联网出版单位检查每年不少于3次。</w:t>
      </w:r>
    </w:p>
    <w:p>
      <w:pPr>
        <w:spacing w:line="560" w:lineRule="exact"/>
        <w:ind w:firstLine="643" w:firstLineChars="200"/>
        <w:rPr>
          <w:rFonts w:hint="eastAsia" w:ascii="仿宋_GB2312" w:eastAsia="仿宋_GB2312" w:cs="宋体"/>
          <w:color w:val="000000"/>
          <w:kern w:val="0"/>
          <w:sz w:val="32"/>
          <w:szCs w:val="32"/>
          <w:lang w:bidi="ar-SA"/>
        </w:rPr>
      </w:pPr>
      <w:r>
        <w:rPr>
          <w:rFonts w:hint="eastAsia" w:ascii="楷体_GB2312" w:eastAsia="楷体_GB2312" w:cs="宋体"/>
          <w:b/>
          <w:color w:val="000000"/>
          <w:kern w:val="0"/>
          <w:sz w:val="32"/>
          <w:szCs w:val="32"/>
          <w:lang w:bidi="ar-SA"/>
        </w:rPr>
        <w:t>（三）检查内容。</w:t>
      </w:r>
      <w:r>
        <w:rPr>
          <w:rFonts w:hint="eastAsia" w:ascii="仿宋_GB2312" w:eastAsia="仿宋_GB2312" w:cs="宋体"/>
          <w:color w:val="000000"/>
          <w:kern w:val="0"/>
          <w:sz w:val="32"/>
          <w:szCs w:val="32"/>
          <w:lang w:bidi="ar-SA"/>
        </w:rPr>
        <w:t>1.证照情况。核实网络文化企业是否依法设立并取得经营许可证、证照是否在有效期内。2.现场查看。了解网络文化企业的基本情况，初步判断是否存在违法经营行为。3.核查项目。按照法律法规的规定，逐一进行核查，查看是否存在违法经营行为。4.调查取证。（1）将虚拟形态的违法网页进行截屏截图，再转化成打印的纸质文件对证据进行物化，固定案件证据，由当事人签字确认。（2）使用“屏幕录像专家”对电脑操作过程进行录制，并使用摄像机对现场环境和取证过程进行摄像，刻录光盘封存，由当事人签字确认。5.制作文书。按照现场实际情况，如实填写相应执法文书。如实填写《现场检查笔录》、《询问（调查）笔录》、《抽样取证凭证》、《证据先行登记保存清单》及《责令改正通知书》等执法文书。6.依法立案。对于违法违规事实清楚的，依法立案调查，并及时将有关信息录入全国文化市场综合执法办公系统和本地行政执法平台。</w:t>
      </w:r>
    </w:p>
    <w:p>
      <w:pPr>
        <w:widowControl/>
        <w:shd w:val="clear" w:color="auto" w:fill="FFFFFF"/>
        <w:spacing w:line="560" w:lineRule="exact"/>
        <w:ind w:firstLine="643" w:firstLineChars="200"/>
        <w:jc w:val="left"/>
        <w:rPr>
          <w:rFonts w:hint="eastAsia" w:ascii="仿宋_GB2312" w:eastAsia="仿宋_GB2312" w:cs="宋体"/>
          <w:color w:val="000000"/>
          <w:kern w:val="0"/>
          <w:sz w:val="32"/>
          <w:szCs w:val="32"/>
          <w:lang w:bidi="ar-SA"/>
        </w:rPr>
      </w:pPr>
      <w:r>
        <w:rPr>
          <w:rFonts w:hint="eastAsia" w:ascii="楷体_GB2312" w:eastAsia="楷体_GB2312" w:cs="宋体"/>
          <w:b/>
          <w:color w:val="000000"/>
          <w:kern w:val="0"/>
          <w:sz w:val="32"/>
          <w:szCs w:val="32"/>
          <w:lang w:bidi="ar-SA"/>
        </w:rPr>
        <w:t>（四）举报查处。</w:t>
      </w:r>
      <w:r>
        <w:rPr>
          <w:rFonts w:hint="eastAsia" w:ascii="仿宋_GB2312" w:eastAsia="仿宋_GB2312" w:cs="宋体"/>
          <w:color w:val="000000"/>
          <w:kern w:val="0"/>
          <w:sz w:val="32"/>
          <w:szCs w:val="32"/>
          <w:lang w:bidi="ar-SA"/>
        </w:rPr>
        <w:t>实行属地管理，按照举报内容及领导批示，由被举报单位所在地文化市场执法支（大）队查处，重要举报由省文化稽查总队直接查处。</w:t>
      </w:r>
    </w:p>
    <w:p>
      <w:pPr>
        <w:widowControl/>
        <w:shd w:val="clear" w:color="auto" w:fill="FFFFFF"/>
        <w:spacing w:line="560" w:lineRule="exact"/>
        <w:ind w:firstLine="643" w:firstLineChars="200"/>
        <w:jc w:val="left"/>
        <w:rPr>
          <w:rFonts w:hint="eastAsia" w:ascii="仿宋_GB2312" w:eastAsia="仿宋_GB2312" w:cs="宋体"/>
          <w:color w:val="000000"/>
          <w:kern w:val="0"/>
          <w:sz w:val="32"/>
          <w:szCs w:val="32"/>
          <w:lang w:bidi="ar-SA"/>
        </w:rPr>
      </w:pPr>
      <w:r>
        <w:rPr>
          <w:rFonts w:hint="eastAsia" w:ascii="楷体_GB2312" w:eastAsia="楷体_GB2312"/>
          <w:b/>
          <w:color w:val="000000"/>
          <w:sz w:val="32"/>
          <w:szCs w:val="32"/>
        </w:rPr>
        <w:t>（五）</w:t>
      </w:r>
      <w:r>
        <w:rPr>
          <w:rFonts w:hint="eastAsia" w:ascii="楷体_GB2312" w:eastAsia="楷体_GB2312" w:cs="宋体"/>
          <w:b/>
          <w:color w:val="000000"/>
          <w:kern w:val="0"/>
          <w:sz w:val="32"/>
          <w:szCs w:val="32"/>
          <w:lang w:bidi="ar-SA"/>
        </w:rPr>
        <w:t>定期通报。</w:t>
      </w:r>
      <w:r>
        <w:rPr>
          <w:rFonts w:hint="eastAsia" w:ascii="仿宋_GB2312" w:eastAsia="仿宋_GB2312" w:cs="宋体"/>
          <w:color w:val="000000"/>
          <w:kern w:val="0"/>
          <w:sz w:val="32"/>
          <w:szCs w:val="32"/>
          <w:lang w:bidi="ar-SA"/>
        </w:rPr>
        <w:t>充分利用全国文化市场技术监管与服务平台网上执法办公系统，掌握经营性互联网文化单位、网络游戏运营企业、在文化行政管理部门的备案、审验情况，对外公开、定期通报对经营性互联网文化单位、网络游戏运营企业的日常监管情况，实现网络文化市场综合执法的规范透明。</w:t>
      </w:r>
    </w:p>
    <w:p>
      <w:pPr>
        <w:spacing w:line="560" w:lineRule="exact"/>
        <w:ind w:firstLine="640" w:firstLineChars="200"/>
        <w:rPr>
          <w:rFonts w:hint="eastAsia" w:ascii="仿宋" w:eastAsia="仿宋" w:cs="黑体"/>
          <w:color w:val="000000"/>
          <w:sz w:val="32"/>
          <w:szCs w:val="32"/>
          <w:lang w:bidi="ar-SA"/>
        </w:rPr>
      </w:pPr>
      <w:r>
        <w:rPr>
          <w:rFonts w:hint="eastAsia" w:ascii="黑体" w:eastAsia="黑体" w:cs="黑体"/>
          <w:color w:val="000000"/>
          <w:sz w:val="32"/>
          <w:szCs w:val="32"/>
          <w:lang w:bidi="ar-SA"/>
        </w:rPr>
        <w:t>六、监管处理</w:t>
      </w:r>
    </w:p>
    <w:p>
      <w:pPr>
        <w:spacing w:line="560" w:lineRule="exact"/>
        <w:ind w:firstLine="640" w:firstLineChars="200"/>
        <w:rPr>
          <w:rFonts w:hint="eastAsia" w:ascii="仿宋_GB2312" w:eastAsia="仿宋_GB2312" w:cs="黑体"/>
          <w:color w:val="000000"/>
          <w:sz w:val="32"/>
          <w:szCs w:val="32"/>
          <w:lang w:bidi="ar-SA"/>
        </w:rPr>
      </w:pPr>
      <w:r>
        <w:rPr>
          <w:rFonts w:hint="eastAsia" w:ascii="仿宋_GB2312" w:eastAsia="仿宋_GB2312" w:cs="宋体"/>
          <w:color w:val="000000"/>
          <w:kern w:val="0"/>
          <w:sz w:val="32"/>
          <w:szCs w:val="32"/>
          <w:lang w:bidi="ar-SA"/>
        </w:rPr>
        <w:t>（一）对违反</w:t>
      </w:r>
      <w:r>
        <w:rPr>
          <w:rFonts w:hint="eastAsia" w:ascii="仿宋_GB2312" w:eastAsia="仿宋_GB2312"/>
          <w:color w:val="000000"/>
          <w:sz w:val="32"/>
          <w:szCs w:val="32"/>
        </w:rPr>
        <w:t>《互联网文化管理暂行规定》、</w:t>
      </w:r>
      <w:r>
        <w:rPr>
          <w:rFonts w:hint="eastAsia" w:ascii="仿宋_GB2312" w:eastAsia="仿宋_GB2312" w:cs="宋体"/>
          <w:color w:val="000000"/>
          <w:kern w:val="0"/>
          <w:sz w:val="32"/>
          <w:szCs w:val="32"/>
          <w:lang w:bidi="ar-SA"/>
        </w:rPr>
        <w:t>《网络游戏管理暂行办法》、《互联网视听节目服务管理规定》等法规、规章的违法行为，事实清楚、证据确凿的，依法进行处罚。</w:t>
      </w:r>
    </w:p>
    <w:p>
      <w:pPr>
        <w:widowControl/>
        <w:shd w:val="clear" w:color="auto" w:fill="FFFFFF"/>
        <w:spacing w:line="560" w:lineRule="exact"/>
        <w:ind w:firstLine="640" w:firstLineChars="200"/>
        <w:jc w:val="left"/>
        <w:rPr>
          <w:rFonts w:hint="eastAsia" w:ascii="仿宋_GB2312" w:eastAsia="仿宋_GB2312" w:cs="宋体"/>
          <w:color w:val="000000"/>
          <w:kern w:val="0"/>
          <w:sz w:val="32"/>
          <w:szCs w:val="32"/>
          <w:lang w:bidi="ar-SA"/>
        </w:rPr>
      </w:pPr>
      <w:r>
        <w:rPr>
          <w:rFonts w:hint="eastAsia" w:ascii="仿宋_GB2312" w:eastAsia="仿宋_GB2312" w:cs="宋体"/>
          <w:color w:val="000000"/>
          <w:kern w:val="0"/>
          <w:sz w:val="32"/>
          <w:szCs w:val="32"/>
          <w:lang w:bidi="ar-SA"/>
        </w:rPr>
        <w:t>（二）对网络文化活动违反规定有侵犯他人著作权行为的，依照《中华人民共和国著作权法》及《中华人民共和国著作权法实施条例》等有关法律法规处罚。</w:t>
      </w:r>
    </w:p>
    <w:p>
      <w:pPr>
        <w:widowControl/>
        <w:shd w:val="clear" w:color="auto" w:fill="FFFFFF"/>
        <w:spacing w:line="560" w:lineRule="exact"/>
        <w:ind w:firstLine="640" w:firstLineChars="200"/>
        <w:jc w:val="left"/>
        <w:rPr>
          <w:rFonts w:hint="eastAsia" w:ascii="仿宋_GB2312" w:eastAsia="仿宋_GB2312" w:cs="宋体"/>
          <w:color w:val="000000"/>
          <w:kern w:val="0"/>
          <w:sz w:val="32"/>
          <w:szCs w:val="32"/>
          <w:lang w:bidi="ar-SA"/>
        </w:rPr>
      </w:pPr>
      <w:r>
        <w:rPr>
          <w:rFonts w:hint="eastAsia" w:ascii="仿宋_GB2312" w:eastAsia="仿宋_GB2312" w:cs="宋体"/>
          <w:color w:val="000000"/>
          <w:kern w:val="0"/>
          <w:sz w:val="32"/>
          <w:szCs w:val="32"/>
          <w:lang w:bidi="ar-SA"/>
        </w:rPr>
        <w:t>（三）对跨区域或两个以上设区市文化市场综合执法友队都有管辖权的违法行为，由省文化稽查总队指定管辖，或直接查处。网络文化活动具有违法违规情形，服务器在其他省市的，省文化稽查总队应协调其他省市文化市场行政执法部门依法查处。</w:t>
      </w:r>
    </w:p>
    <w:p>
      <w:pPr>
        <w:widowControl/>
        <w:shd w:val="clear" w:color="auto" w:fill="FFFFFF"/>
        <w:spacing w:line="560" w:lineRule="exact"/>
        <w:ind w:firstLine="640" w:firstLineChars="200"/>
        <w:jc w:val="left"/>
        <w:rPr>
          <w:rFonts w:hint="eastAsia" w:ascii="仿宋_GB2312" w:eastAsia="仿宋_GB2312" w:cs="宋体"/>
          <w:color w:val="000000"/>
          <w:kern w:val="0"/>
          <w:sz w:val="32"/>
          <w:szCs w:val="32"/>
          <w:lang w:bidi="ar-SA"/>
        </w:rPr>
      </w:pPr>
      <w:r>
        <w:rPr>
          <w:rFonts w:hint="eastAsia" w:ascii="仿宋_GB2312" w:eastAsia="仿宋_GB2312" w:cs="宋体"/>
          <w:color w:val="000000"/>
          <w:kern w:val="0"/>
          <w:sz w:val="32"/>
          <w:szCs w:val="32"/>
          <w:lang w:bidi="ar-SA"/>
        </w:rPr>
        <w:t>（四）发现案件不属于自己管辖的，应按照相关规定和法定程序及时将案件移交给有管辖权的有关部门；违法行为涉嫌构成犯罪的，应及时移送司法机关依法处理。</w:t>
      </w: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七、监管是否涉及其它部门</w:t>
      </w:r>
    </w:p>
    <w:p>
      <w:pPr>
        <w:widowControl/>
        <w:shd w:val="clear" w:color="auto" w:fill="FFFFFF"/>
        <w:spacing w:line="560" w:lineRule="exact"/>
        <w:ind w:firstLine="643" w:firstLineChars="200"/>
        <w:jc w:val="left"/>
        <w:rPr>
          <w:rFonts w:hint="eastAsia" w:ascii="仿宋_GB2312" w:eastAsia="仿宋_GB2312" w:cs="宋体"/>
          <w:color w:val="000000"/>
          <w:kern w:val="0"/>
          <w:sz w:val="32"/>
          <w:szCs w:val="32"/>
          <w:lang w:bidi="ar-SA"/>
        </w:rPr>
      </w:pPr>
      <w:r>
        <w:rPr>
          <w:rFonts w:hint="eastAsia" w:ascii="楷体_GB2312" w:eastAsia="楷体_GB2312"/>
          <w:b/>
          <w:bCs/>
          <w:color w:val="000000"/>
          <w:sz w:val="32"/>
          <w:szCs w:val="32"/>
        </w:rPr>
        <w:t>（一）部门协管。</w:t>
      </w:r>
      <w:r>
        <w:rPr>
          <w:rFonts w:hint="eastAsia" w:ascii="仿宋_GB2312" w:eastAsia="仿宋_GB2312" w:cs="宋体"/>
          <w:color w:val="000000"/>
          <w:kern w:val="0"/>
          <w:sz w:val="32"/>
          <w:szCs w:val="32"/>
          <w:lang w:bidi="ar-SA"/>
        </w:rPr>
        <w:t>建立与公安、工商、网信办、通信管理局沟通协调机制，定期召开联席工作会议，研究讨论网络文化市场综合执法工作对策，解决网络文化市场综合执法工作中的实际问题。</w:t>
      </w:r>
    </w:p>
    <w:p>
      <w:pPr>
        <w:spacing w:line="560" w:lineRule="exact"/>
        <w:ind w:firstLine="643" w:firstLineChars="200"/>
        <w:rPr>
          <w:rFonts w:hint="eastAsia" w:ascii="仿宋_GB2312" w:eastAsia="仿宋_GB2312"/>
          <w:color w:val="000000"/>
          <w:sz w:val="32"/>
          <w:szCs w:val="32"/>
        </w:rPr>
      </w:pPr>
      <w:r>
        <w:rPr>
          <w:rFonts w:hint="eastAsia" w:ascii="楷体_GB2312" w:eastAsia="楷体_GB2312"/>
          <w:b/>
          <w:bCs/>
          <w:color w:val="000000"/>
          <w:sz w:val="32"/>
          <w:szCs w:val="32"/>
        </w:rPr>
        <w:t>（二）社会共管。</w:t>
      </w:r>
      <w:r>
        <w:rPr>
          <w:rFonts w:hint="eastAsia" w:ascii="仿宋_GB2312" w:eastAsia="仿宋_GB2312"/>
          <w:color w:val="000000"/>
          <w:sz w:val="32"/>
          <w:szCs w:val="32"/>
        </w:rPr>
        <w:t>实现社会共同监管，充分发挥互联网文化企业协会行业组织和社会公众的监督作用，实现社会共同监管，推动市场主体自我约束、诚信经营。</w:t>
      </w: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八、监管处室</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福建省文化厅市场与产业处</w:t>
      </w:r>
    </w:p>
    <w:p>
      <w:pPr>
        <w:spacing w:line="560" w:lineRule="exact"/>
        <w:ind w:firstLine="640" w:firstLineChars="200"/>
        <w:rPr>
          <w:rFonts w:hint="eastAsia" w:ascii="黑体" w:eastAsia="黑体" w:cs="黑体"/>
          <w:color w:val="000000"/>
          <w:sz w:val="32"/>
          <w:szCs w:val="32"/>
          <w:lang w:bidi="ar-SA"/>
        </w:rPr>
      </w:pPr>
      <w:r>
        <w:rPr>
          <w:rFonts w:hint="eastAsia" w:ascii="黑体" w:eastAsia="黑体" w:cs="黑体"/>
          <w:color w:val="000000"/>
          <w:sz w:val="32"/>
          <w:szCs w:val="32"/>
          <w:lang w:bidi="ar-SA"/>
        </w:rPr>
        <w:t>九、投诉举报电话</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0591-87118113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DE2F16"/>
    <w:multiLevelType w:val="multilevel"/>
    <w:tmpl w:val="6DDE2F16"/>
    <w:lvl w:ilvl="0" w:tentative="0">
      <w:start w:val="1"/>
      <w:numFmt w:val="japaneseCounting"/>
      <w:lvlText w:val="（%1）"/>
      <w:lvlJc w:val="left"/>
      <w:pPr>
        <w:tabs>
          <w:tab w:val="left" w:pos="0"/>
        </w:tabs>
        <w:ind w:left="1720" w:hanging="1080"/>
      </w:pPr>
      <w:rPr>
        <w:rFonts w:hint="default"/>
      </w:rPr>
    </w:lvl>
    <w:lvl w:ilvl="1" w:tentative="0">
      <w:start w:val="1"/>
      <w:numFmt w:val="lowerLetter"/>
      <w:lvlText w:val="%2)"/>
      <w:lvlJc w:val="left"/>
      <w:pPr>
        <w:tabs>
          <w:tab w:val="left" w:pos="0"/>
        </w:tabs>
        <w:ind w:left="1480" w:hanging="420"/>
      </w:pPr>
    </w:lvl>
    <w:lvl w:ilvl="2" w:tentative="0">
      <w:start w:val="1"/>
      <w:numFmt w:val="lowerRoman"/>
      <w:lvlText w:val="%3."/>
      <w:lvlJc w:val="right"/>
      <w:pPr>
        <w:tabs>
          <w:tab w:val="left" w:pos="0"/>
        </w:tabs>
        <w:ind w:left="1900" w:hanging="420"/>
      </w:pPr>
    </w:lvl>
    <w:lvl w:ilvl="3" w:tentative="0">
      <w:start w:val="1"/>
      <w:numFmt w:val="decimal"/>
      <w:lvlText w:val="%4."/>
      <w:lvlJc w:val="left"/>
      <w:pPr>
        <w:tabs>
          <w:tab w:val="left" w:pos="0"/>
        </w:tabs>
        <w:ind w:left="2320" w:hanging="420"/>
      </w:pPr>
    </w:lvl>
    <w:lvl w:ilvl="4" w:tentative="0">
      <w:start w:val="1"/>
      <w:numFmt w:val="lowerLetter"/>
      <w:lvlText w:val="%5)"/>
      <w:lvlJc w:val="left"/>
      <w:pPr>
        <w:tabs>
          <w:tab w:val="left" w:pos="0"/>
        </w:tabs>
        <w:ind w:left="2740" w:hanging="420"/>
      </w:pPr>
    </w:lvl>
    <w:lvl w:ilvl="5" w:tentative="0">
      <w:start w:val="1"/>
      <w:numFmt w:val="lowerRoman"/>
      <w:lvlText w:val="%6."/>
      <w:lvlJc w:val="right"/>
      <w:pPr>
        <w:tabs>
          <w:tab w:val="left" w:pos="0"/>
        </w:tabs>
        <w:ind w:left="3160" w:hanging="420"/>
      </w:pPr>
    </w:lvl>
    <w:lvl w:ilvl="6" w:tentative="0">
      <w:start w:val="1"/>
      <w:numFmt w:val="decimal"/>
      <w:lvlText w:val="%7."/>
      <w:lvlJc w:val="left"/>
      <w:pPr>
        <w:tabs>
          <w:tab w:val="left" w:pos="0"/>
        </w:tabs>
        <w:ind w:left="3580" w:hanging="420"/>
      </w:pPr>
    </w:lvl>
    <w:lvl w:ilvl="7" w:tentative="0">
      <w:start w:val="1"/>
      <w:numFmt w:val="lowerLetter"/>
      <w:lvlText w:val="%8)"/>
      <w:lvlJc w:val="left"/>
      <w:pPr>
        <w:tabs>
          <w:tab w:val="left" w:pos="0"/>
        </w:tabs>
        <w:ind w:left="4000" w:hanging="420"/>
      </w:pPr>
    </w:lvl>
    <w:lvl w:ilvl="8" w:tentative="0">
      <w:start w:val="1"/>
      <w:numFmt w:val="lowerRoman"/>
      <w:lvlText w:val="%9."/>
      <w:lvlJc w:val="right"/>
      <w:pPr>
        <w:tabs>
          <w:tab w:val="left" w:pos="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64E3C28"/>
    <w:rsid w:val="6F5E15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陈亚萍</cp:lastModifiedBy>
  <dcterms:modified xsi:type="dcterms:W3CDTF">2018-08-27T09:24:17Z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