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仿宋_GB2312"/>
          <w:sz w:val="32"/>
          <w:szCs w:val="32"/>
        </w:rPr>
      </w:pPr>
      <w:bookmarkStart w:id="0" w:name="_GoBack"/>
      <w:r>
        <w:rPr>
          <w:rFonts w:hint="eastAsia" w:ascii="黑体" w:hAnsi="黑体" w:eastAsia="黑体" w:cs="仿宋_GB2312"/>
          <w:sz w:val="32"/>
          <w:szCs w:val="32"/>
        </w:rPr>
        <w:t>第二类医疗器械产品注册事中事后监管方案</w:t>
      </w:r>
    </w:p>
    <w:bookmarkEnd w:id="0"/>
    <w:p>
      <w:pPr>
        <w:ind w:firstLine="640" w:firstLineChars="200"/>
        <w:rPr>
          <w:rFonts w:hint="eastAsia" w:ascii="仿宋" w:hAnsi="仿宋" w:eastAsia="仿宋"/>
          <w:sz w:val="32"/>
          <w:szCs w:val="32"/>
        </w:rPr>
      </w:pPr>
    </w:p>
    <w:p>
      <w:pPr>
        <w:ind w:firstLine="640" w:firstLineChars="200"/>
        <w:rPr>
          <w:rFonts w:hint="eastAsia" w:ascii="仿宋" w:hAnsi="仿宋" w:eastAsia="仿宋"/>
          <w:sz w:val="32"/>
          <w:szCs w:val="32"/>
        </w:rPr>
      </w:pPr>
      <w:r>
        <w:rPr>
          <w:rFonts w:hint="eastAsia" w:ascii="仿宋" w:hAnsi="仿宋" w:eastAsia="仿宋"/>
          <w:sz w:val="32"/>
          <w:szCs w:val="32"/>
        </w:rPr>
        <w:t>为贯彻落实国务院关于“证照分离”改革试点精神、省政府</w:t>
      </w:r>
      <w:r>
        <w:rPr>
          <w:rFonts w:hint="eastAsia" w:ascii="仿宋" w:hAnsi="仿宋" w:eastAsia="仿宋" w:cs="宋体"/>
          <w:sz w:val="32"/>
          <w:szCs w:val="32"/>
        </w:rPr>
        <w:t>《关于印发福建省开展“证照分离”改革试点工作方案的通知》（闽政[2017]55号）精神, 根据《厦门市人民政府办公厅关于印发厦门市进一步推进“证照分离”改革试点工作实施方案的通知》（厦府办[2018]109号）中关于将“</w:t>
      </w:r>
      <w:r>
        <w:rPr>
          <w:rFonts w:hint="eastAsia" w:ascii="仿宋" w:hAnsi="仿宋" w:eastAsia="仿宋"/>
          <w:sz w:val="32"/>
          <w:szCs w:val="32"/>
        </w:rPr>
        <w:t>第二类医疗器械产品注册”事项实行严格市场准入的部署和要求，为进一步加强该事项的事中事后监管，现制定第二类医疗器械产品注册事中事后监管方案如下：</w:t>
      </w:r>
    </w:p>
    <w:p>
      <w:pPr>
        <w:ind w:firstLine="643" w:firstLineChars="200"/>
        <w:rPr>
          <w:rFonts w:hint="eastAsia" w:ascii="仿宋" w:hAnsi="仿宋" w:eastAsia="仿宋"/>
          <w:b/>
          <w:sz w:val="32"/>
          <w:szCs w:val="32"/>
        </w:rPr>
      </w:pPr>
      <w:r>
        <w:rPr>
          <w:rFonts w:hint="eastAsia" w:ascii="仿宋" w:hAnsi="仿宋" w:eastAsia="仿宋"/>
          <w:b/>
          <w:sz w:val="32"/>
          <w:szCs w:val="32"/>
        </w:rPr>
        <w:t>一、监管对象</w:t>
      </w:r>
    </w:p>
    <w:p>
      <w:pPr>
        <w:ind w:firstLine="640" w:firstLineChars="200"/>
        <w:rPr>
          <w:rFonts w:hint="eastAsia" w:ascii="仿宋" w:hAnsi="仿宋" w:eastAsia="仿宋"/>
          <w:sz w:val="32"/>
          <w:szCs w:val="32"/>
        </w:rPr>
      </w:pPr>
      <w:r>
        <w:rPr>
          <w:rFonts w:hint="eastAsia" w:ascii="仿宋" w:hAnsi="仿宋" w:eastAsia="仿宋"/>
          <w:sz w:val="32"/>
          <w:szCs w:val="32"/>
        </w:rPr>
        <w:t>第二类医疗器械产品</w:t>
      </w:r>
    </w:p>
    <w:p>
      <w:pPr>
        <w:ind w:firstLine="630" w:firstLineChars="196"/>
        <w:rPr>
          <w:rFonts w:hint="eastAsia" w:ascii="仿宋" w:hAnsi="仿宋" w:eastAsia="仿宋"/>
          <w:b/>
          <w:sz w:val="32"/>
          <w:szCs w:val="32"/>
        </w:rPr>
      </w:pPr>
      <w:r>
        <w:rPr>
          <w:rFonts w:hint="eastAsia" w:ascii="仿宋" w:hAnsi="仿宋" w:eastAsia="仿宋"/>
          <w:b/>
          <w:sz w:val="32"/>
          <w:szCs w:val="32"/>
        </w:rPr>
        <w:t>二、监管措施</w:t>
      </w:r>
    </w:p>
    <w:p>
      <w:pPr>
        <w:ind w:firstLine="480" w:firstLineChars="150"/>
        <w:rPr>
          <w:rFonts w:hint="eastAsia" w:ascii="仿宋" w:hAnsi="仿宋" w:eastAsia="仿宋" w:cs="仿宋_GB2312"/>
          <w:color w:val="474A50"/>
          <w:kern w:val="0"/>
          <w:sz w:val="32"/>
          <w:szCs w:val="32"/>
        </w:rPr>
      </w:pPr>
      <w:r>
        <w:rPr>
          <w:rFonts w:hint="eastAsia" w:ascii="仿宋" w:hAnsi="仿宋" w:eastAsia="仿宋" w:cs="仿宋_GB2312"/>
          <w:sz w:val="32"/>
          <w:szCs w:val="32"/>
        </w:rPr>
        <w:t>1.落实省局信用管理文件规定，记录对已把注册产品添加到生产许可范围内企业在生产经营活动中的失信行为，并按有关规定提供给省局信用信息公示平台。对情节严重的失信行为，向省局行文建议吊销其注册证。</w:t>
      </w:r>
    </w:p>
    <w:p>
      <w:pPr>
        <w:ind w:firstLine="480" w:firstLineChars="150"/>
        <w:rPr>
          <w:rFonts w:hint="eastAsia" w:ascii="仿宋" w:hAnsi="仿宋" w:eastAsia="仿宋" w:cs="仿宋_GB2312"/>
          <w:sz w:val="32"/>
          <w:szCs w:val="32"/>
        </w:rPr>
      </w:pPr>
      <w:r>
        <w:rPr>
          <w:rFonts w:hint="eastAsia" w:ascii="仿宋" w:hAnsi="仿宋" w:eastAsia="仿宋" w:cs="仿宋_GB2312"/>
          <w:color w:val="474A50"/>
          <w:kern w:val="0"/>
          <w:sz w:val="32"/>
          <w:szCs w:val="32"/>
        </w:rPr>
        <w:t>2.</w:t>
      </w:r>
      <w:r>
        <w:rPr>
          <w:rFonts w:hint="eastAsia" w:ascii="仿宋" w:hAnsi="仿宋" w:eastAsia="仿宋" w:cs="仿宋_GB2312"/>
          <w:sz w:val="32"/>
          <w:szCs w:val="32"/>
        </w:rPr>
        <w:t>加强对已把注册产品添加到生产许可范围内企业的日常监管工作。每年制定监督检查方案，按照《医疗器械监督管理条例》、《医疗器械生产监督管理办法》、《医疗器械生产质量管理规范》及其相关附录，对企业日常生产经营活动进行监督检查，重点检查企业是否按照注册标准、是否在许可范围内组织生产，是否持续符合许可条件。</w:t>
      </w:r>
    </w:p>
    <w:p>
      <w:pPr>
        <w:ind w:firstLine="480" w:firstLineChars="150"/>
        <w:rPr>
          <w:rFonts w:hint="eastAsia" w:ascii="仿宋" w:hAnsi="仿宋" w:eastAsia="仿宋" w:cs="仿宋_GB2312"/>
          <w:sz w:val="32"/>
          <w:szCs w:val="32"/>
        </w:rPr>
      </w:pPr>
      <w:r>
        <w:rPr>
          <w:rFonts w:hint="eastAsia" w:ascii="仿宋" w:hAnsi="仿宋" w:eastAsia="仿宋" w:cs="仿宋_GB2312"/>
          <w:sz w:val="32"/>
          <w:szCs w:val="32"/>
        </w:rPr>
        <w:t>3.依法对已把注册产品添加到生产许可范围内企业在生产经营活动中的违法行为，移交稽查部门实施行政处罚。</w:t>
      </w:r>
    </w:p>
    <w:p>
      <w:pPr>
        <w:ind w:firstLine="480" w:firstLineChars="150"/>
        <w:rPr>
          <w:rFonts w:hint="eastAsia" w:ascii="仿宋" w:hAnsi="仿宋" w:eastAsia="仿宋" w:cs="仿宋_GB2312"/>
          <w:sz w:val="32"/>
          <w:szCs w:val="32"/>
        </w:rPr>
      </w:pPr>
    </w:p>
    <w:p>
      <w:pPr>
        <w:rPr>
          <w:rFonts w:hint="eastAsia" w:ascii="仿宋" w:hAnsi="仿宋" w:eastAsia="仿宋"/>
          <w:sz w:val="32"/>
          <w:szCs w:val="32"/>
        </w:rPr>
      </w:pPr>
    </w:p>
    <w:p>
      <w:pPr>
        <w:rPr>
          <w:rFonts w:hint="eastAsia" w:ascii="仿宋" w:hAnsi="仿宋" w:eastAsia="仿宋"/>
          <w:sz w:val="32"/>
          <w:szCs w:val="32"/>
        </w:rPr>
      </w:pPr>
    </w:p>
    <w:p>
      <w:pPr>
        <w:rPr>
          <w:rFonts w:hint="eastAsia" w:ascii="仿宋" w:hAnsi="仿宋" w:eastAsia="仿宋"/>
          <w:sz w:val="32"/>
          <w:szCs w:val="32"/>
        </w:rPr>
      </w:pPr>
    </w:p>
    <w:p>
      <w:pPr>
        <w:rPr>
          <w:rFonts w:hint="eastAsia" w:ascii="仿宋" w:hAnsi="仿宋" w:eastAsia="仿宋"/>
          <w:sz w:val="32"/>
          <w:szCs w:val="32"/>
        </w:rPr>
      </w:pPr>
    </w:p>
    <w:p>
      <w:pPr>
        <w:rPr>
          <w:rFonts w:hint="eastAsia" w:ascii="仿宋" w:hAnsi="仿宋" w:eastAsia="仿宋"/>
          <w:sz w:val="32"/>
          <w:szCs w:val="32"/>
        </w:rPr>
      </w:pPr>
    </w:p>
    <w:p>
      <w:pPr>
        <w:rPr>
          <w:rFonts w:hint="eastAsia" w:ascii="仿宋" w:hAnsi="仿宋" w:eastAsia="仿宋"/>
          <w:sz w:val="32"/>
          <w:szCs w:val="32"/>
        </w:rPr>
      </w:pPr>
    </w:p>
    <w:p>
      <w:pPr>
        <w:rPr>
          <w:rFonts w:hint="eastAsia" w:ascii="仿宋" w:hAnsi="仿宋" w:eastAsia="仿宋"/>
          <w:sz w:val="32"/>
          <w:szCs w:val="32"/>
        </w:rPr>
      </w:pPr>
    </w:p>
    <w:p>
      <w:pPr>
        <w:rPr>
          <w:rFonts w:hint="eastAsia" w:ascii="仿宋" w:hAnsi="仿宋" w:eastAsia="仿宋"/>
          <w:sz w:val="32"/>
          <w:szCs w:val="32"/>
        </w:rPr>
      </w:pPr>
    </w:p>
    <w:p>
      <w:pPr>
        <w:rPr>
          <w:rFonts w:hint="eastAsia" w:ascii="仿宋" w:hAnsi="仿宋" w:eastAsia="仿宋"/>
          <w:sz w:val="32"/>
          <w:szCs w:val="32"/>
        </w:rPr>
      </w:pPr>
    </w:p>
    <w:p>
      <w:pPr>
        <w:rPr>
          <w:rFonts w:hint="eastAsia" w:ascii="仿宋" w:hAnsi="仿宋" w:eastAsia="仿宋"/>
          <w:sz w:val="32"/>
          <w:szCs w:val="32"/>
        </w:rPr>
      </w:pPr>
    </w:p>
    <w:p>
      <w:pPr>
        <w:rPr>
          <w:rFonts w:hint="eastAsia" w:ascii="仿宋" w:hAnsi="仿宋" w:eastAsia="仿宋"/>
          <w:sz w:val="32"/>
          <w:szCs w:val="32"/>
        </w:rPr>
      </w:pPr>
    </w:p>
    <w:p>
      <w:pPr>
        <w:rPr>
          <w:rFonts w:hint="eastAsia" w:ascii="仿宋" w:hAnsi="仿宋" w:eastAsia="仿宋"/>
          <w:sz w:val="32"/>
          <w:szCs w:val="32"/>
        </w:rPr>
      </w:pPr>
    </w:p>
    <w:p>
      <w:pPr>
        <w:rPr>
          <w:rFonts w:hint="eastAsia" w:ascii="仿宋" w:hAnsi="仿宋" w:eastAsia="仿宋"/>
          <w:sz w:val="32"/>
          <w:szCs w:val="32"/>
        </w:rPr>
      </w:pPr>
    </w:p>
    <w:p>
      <w:pPr>
        <w:rPr>
          <w:rFonts w:hint="eastAsia" w:ascii="仿宋" w:hAnsi="仿宋" w:eastAsia="仿宋"/>
          <w:sz w:val="32"/>
          <w:szCs w:val="32"/>
        </w:rPr>
      </w:pPr>
    </w:p>
    <w:p>
      <w:pPr>
        <w:rPr>
          <w:rFonts w:hint="eastAsia" w:ascii="仿宋" w:hAnsi="仿宋" w:eastAsia="仿宋"/>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455B343A"/>
    <w:rsid w:val="6F5E158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0</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陈亚萍</cp:lastModifiedBy>
  <dcterms:modified xsi:type="dcterms:W3CDTF">2018-08-27T10:24:17Z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