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第二类、第三类医疗器械生产许可事中事后监管方案</w:t>
      </w:r>
    </w:p>
    <w:bookmarkEnd w:id="0"/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为贯彻落实国务院关于“证照分离”改革试点精神、省政府</w:t>
      </w:r>
      <w:r>
        <w:rPr>
          <w:rFonts w:hint="eastAsia" w:ascii="仿宋" w:hAnsi="仿宋" w:eastAsia="仿宋" w:cs="宋体"/>
          <w:sz w:val="32"/>
          <w:szCs w:val="32"/>
        </w:rPr>
        <w:t>《关于印发福建省开展“证照分离”改革试点工作方案的通知》（闽政[2017]55号）精神, 根据《厦门市人民政府办公厅关于印发厦门市进一步推进“证照分离”改革试点工作实施方案的通知》（厦府办[2018]109号）中关于将“</w:t>
      </w:r>
      <w:r>
        <w:rPr>
          <w:rFonts w:hint="eastAsia" w:ascii="仿宋" w:hAnsi="仿宋" w:eastAsia="仿宋"/>
          <w:sz w:val="32"/>
          <w:szCs w:val="32"/>
        </w:rPr>
        <w:t>第二类、第三类医疗器械生产许可”事项实行严格市场准入的部署和要求，为进一步加强该事项的事中事后监管，现制定第二类、第三类医疗器械生产许可事中事后监管方案如下：</w:t>
      </w:r>
    </w:p>
    <w:p>
      <w:pPr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一、事项名称：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第二类、第三类医疗器械生产企业</w:t>
      </w:r>
    </w:p>
    <w:p>
      <w:pPr>
        <w:ind w:firstLine="648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二、监管措施：</w:t>
      </w:r>
    </w:p>
    <w:p>
      <w:pPr>
        <w:ind w:firstLine="648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1.落实省局信用管理文件规定，记录申请企业在生产活动中的失信行为，并按有关规定提供给省局信用信息公示平台。对情节严重的失信行为，向省局行文建议吊销生产许可证。</w:t>
      </w:r>
    </w:p>
    <w:p>
      <w:pPr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2.加强对取得医疗器械生产企业的日常监管工作。每年制定监督检查方案，按照《医疗器械监督管理条例》、《医疗器械生产监督管理办法》、《医疗器械生产质量管理规范》及其相关附录，对企业日常生产经营活动进行监督检查，重点检查企业是否按照注册标准、是否在许可范围内组织生产，是否持续符合许可条件。</w:t>
      </w:r>
    </w:p>
    <w:p>
      <w:pPr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3.依法对第二类、第三类医疗器械生产过程中的违法行为移交稽查部门实施行政处罚。</w:t>
      </w:r>
    </w:p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1AE0C18"/>
    <w:rsid w:val="6F5E15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陈亚萍</cp:lastModifiedBy>
  <dcterms:modified xsi:type="dcterms:W3CDTF">2018-08-27T10:25:14Z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