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方正小标宋简体" w:hAnsi="方正小标宋简体" w:eastAsia="方正小标宋简体"/>
          <w:sz w:val="36"/>
          <w:szCs w:val="36"/>
        </w:rPr>
      </w:pPr>
      <w:bookmarkStart w:id="0" w:name="_GoBack"/>
      <w:r>
        <w:rPr>
          <w:rFonts w:hint="eastAsia" w:ascii="黑体" w:eastAsia="黑体" w:cs="宋体"/>
          <w:color w:val="000000"/>
          <w:kern w:val="0"/>
          <w:sz w:val="36"/>
          <w:szCs w:val="36"/>
          <w:lang w:bidi="ar-SA"/>
        </w:rPr>
        <w:t>演出经纪机构（含涉港澳台）设立许可</w:t>
      </w:r>
      <w:r>
        <w:rPr>
          <w:rFonts w:hint="eastAsia" w:ascii="方正小标宋简体" w:hAnsi="方正小标宋简体" w:eastAsia="方正小标宋简体"/>
          <w:sz w:val="36"/>
          <w:szCs w:val="36"/>
        </w:rPr>
        <w:t>监管措施</w:t>
      </w:r>
    </w:p>
    <w:bookmarkEnd w:id="0"/>
    <w:p>
      <w:pPr>
        <w:spacing w:line="460" w:lineRule="exact"/>
        <w:rPr>
          <w:sz w:val="32"/>
          <w:szCs w:val="32"/>
        </w:rPr>
      </w:pP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一、事项名称</w:t>
      </w:r>
    </w:p>
    <w:p>
      <w:pPr>
        <w:spacing w:line="460" w:lineRule="exact"/>
        <w:ind w:firstLine="640" w:firstLineChars="200"/>
        <w:rPr>
          <w:rFonts w:hint="eastAsia" w:ascii="仿宋_GB2312" w:eastAsia="仿宋_GB2312" w:cs="宋体"/>
          <w:color w:val="000000"/>
          <w:kern w:val="0"/>
          <w:sz w:val="32"/>
          <w:szCs w:val="32"/>
          <w:lang w:bidi="ar-SA"/>
        </w:rPr>
      </w:pPr>
      <w:r>
        <w:rPr>
          <w:rFonts w:hint="eastAsia" w:ascii="仿宋_GB2312" w:eastAsia="仿宋_GB2312" w:cs="宋体"/>
          <w:color w:val="000000"/>
          <w:kern w:val="0"/>
          <w:sz w:val="32"/>
          <w:szCs w:val="32"/>
          <w:lang w:bidi="ar-SA"/>
        </w:rPr>
        <w:t>演出经纪机构（含涉港澳台）设立许可</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二、事项类别</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提高透明度和可预期性</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三、监管依据</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根据《</w:t>
      </w:r>
      <w:r>
        <w:rPr>
          <w:rFonts w:hint="eastAsia" w:ascii="仿宋_GB2312" w:eastAsia="仿宋_GB2312"/>
          <w:color w:val="000000"/>
          <w:sz w:val="32"/>
          <w:szCs w:val="32"/>
        </w:rPr>
        <w:t>营业性演出管理条例</w:t>
      </w:r>
      <w:r>
        <w:rPr>
          <w:rFonts w:hint="eastAsia" w:ascii="仿宋_GB2312" w:eastAsia="仿宋_GB2312"/>
          <w:sz w:val="32"/>
          <w:szCs w:val="32"/>
        </w:rPr>
        <w:t>》、《营业性演出管理条例实施细则》《</w:t>
      </w:r>
      <w:r>
        <w:rPr>
          <w:rFonts w:hint="eastAsia" w:ascii="仿宋_GB2312" w:eastAsia="仿宋_GB2312"/>
          <w:color w:val="000000"/>
          <w:sz w:val="32"/>
          <w:szCs w:val="32"/>
        </w:rPr>
        <w:t>国务院关于取消和下放一批行政审批项目的决定</w:t>
      </w:r>
      <w:r>
        <w:rPr>
          <w:rFonts w:hint="eastAsia" w:ascii="仿宋_GB2312" w:eastAsia="仿宋_GB2312"/>
          <w:sz w:val="32"/>
          <w:szCs w:val="32"/>
        </w:rPr>
        <w:t>》、《</w:t>
      </w:r>
      <w:r>
        <w:rPr>
          <w:rFonts w:hint="eastAsia" w:ascii="仿宋_GB2312" w:eastAsia="仿宋_GB2312"/>
          <w:color w:val="000000"/>
          <w:sz w:val="32"/>
          <w:szCs w:val="32"/>
        </w:rPr>
        <w:t>文化部关于同意在福建省实行文化市场行政审批先行先试政策的批复</w:t>
      </w:r>
      <w:r>
        <w:rPr>
          <w:rFonts w:hint="eastAsia" w:ascii="仿宋_GB2312" w:eastAsia="仿宋_GB2312"/>
          <w:sz w:val="32"/>
          <w:szCs w:val="32"/>
        </w:rPr>
        <w:t>》等相关规定进行监管。</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四、监管措施</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加强对演出经纪机构主体设立的审批管理，实行每年年报、两年年审续证的工作机制，落实科学规范的常态化演出市场查处机制，建立违规演艺企业黑名单制度。</w:t>
      </w:r>
    </w:p>
    <w:p>
      <w:pPr>
        <w:spacing w:line="46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（一）日常检查</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1．符合法定条件，准予许可后，演艺经纪机构开展营业性演出活动须按要求申报活动事项，并配合文化执法部门加强演出现场的监管，做好安全防范工作。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2．演出经纪机构在运作营业性演出活动时，不得出现违反《营业性演出管理条例》第二十五条的情形。</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3．凡取得《营业性演出许可证》的演出经纪机构须参与每年年报、两年年审续证工作；</w:t>
      </w:r>
    </w:p>
    <w:p>
      <w:pPr>
        <w:spacing w:line="460" w:lineRule="exact"/>
        <w:ind w:firstLine="482" w:firstLineChars="150"/>
        <w:rPr>
          <w:rFonts w:hint="eastAsia" w:ascii="仿宋_GB2312" w:eastAsia="仿宋_GB2312"/>
          <w:sz w:val="32"/>
          <w:szCs w:val="32"/>
        </w:rPr>
      </w:pPr>
      <w:r>
        <w:rPr>
          <w:rFonts w:hint="eastAsia" w:ascii="楷体_GB2312" w:eastAsia="楷体_GB2312"/>
          <w:b/>
          <w:bCs/>
          <w:sz w:val="32"/>
          <w:szCs w:val="32"/>
        </w:rPr>
        <w:t>（二）重点复查。</w:t>
      </w:r>
      <w:r>
        <w:rPr>
          <w:rFonts w:hint="eastAsia" w:ascii="仿宋_GB2312" w:eastAsia="仿宋_GB2312"/>
          <w:sz w:val="32"/>
          <w:szCs w:val="32"/>
        </w:rPr>
        <w:t>对曾被作出行政处罚或责令改正的演出经纪机构，自作出行政处罚或责令发改正开始一年内，对其举办的各类演出活动给予重点检查，对复查过程中仍发现存在问题的，给予从重处罚，情节严重者，依法注销《营业性演出许可证》。</w:t>
      </w:r>
    </w:p>
    <w:p>
      <w:pPr>
        <w:spacing w:line="460" w:lineRule="exact"/>
        <w:ind w:firstLine="482" w:firstLineChars="150"/>
        <w:rPr>
          <w:rFonts w:hint="eastAsia" w:ascii="仿宋_GB2312" w:eastAsia="仿宋_GB2312"/>
          <w:sz w:val="32"/>
          <w:szCs w:val="32"/>
        </w:rPr>
      </w:pPr>
      <w:r>
        <w:rPr>
          <w:rFonts w:hint="eastAsia" w:ascii="楷体_GB2312" w:eastAsia="楷体_GB2312"/>
          <w:b/>
          <w:bCs/>
          <w:sz w:val="32"/>
          <w:szCs w:val="32"/>
        </w:rPr>
        <w:t>（三）举报核查。</w:t>
      </w:r>
      <w:r>
        <w:rPr>
          <w:rFonts w:hint="eastAsia" w:ascii="仿宋_GB2312" w:eastAsia="仿宋_GB2312"/>
          <w:sz w:val="32"/>
          <w:szCs w:val="32"/>
        </w:rPr>
        <w:t>对各类举报渠道接收到的举报信息进行核查。对被许可人资格及其经营范围的投诉举报在第一时间受理并进行核查。核查中发现确实存在问题的，开具整改通知单，并跟踪落实整改情况，直至整改到位。对违反《营业性演出管理条例》规定2年内2次受到行政处罚的演出经纪机构，给予从重处罚。对屡次整改不到位的，依法注销《营业性演出许可证》。</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五、监管程序</w:t>
      </w:r>
    </w:p>
    <w:p>
      <w:pPr>
        <w:spacing w:line="460" w:lineRule="exact"/>
        <w:ind w:firstLine="643" w:firstLineChars="200"/>
        <w:rPr>
          <w:rFonts w:hint="eastAsia" w:ascii="仿宋_GB2312" w:eastAsia="仿宋_GB2312" w:cs="黑体"/>
          <w:sz w:val="32"/>
          <w:szCs w:val="32"/>
          <w:lang w:bidi="ar-SA"/>
        </w:rPr>
      </w:pPr>
      <w:r>
        <w:rPr>
          <w:rFonts w:hint="eastAsia" w:ascii="楷体_GB2312" w:eastAsia="楷体_GB2312" w:cs="黑体"/>
          <w:b/>
          <w:bCs/>
          <w:sz w:val="32"/>
          <w:szCs w:val="32"/>
          <w:lang w:bidi="ar-SA"/>
        </w:rPr>
        <w:t>（一）日常检查。</w:t>
      </w:r>
      <w:r>
        <w:rPr>
          <w:rFonts w:hint="eastAsia" w:ascii="仿宋_GB2312" w:eastAsia="仿宋_GB2312" w:cs="黑体"/>
          <w:sz w:val="32"/>
          <w:szCs w:val="32"/>
          <w:lang w:bidi="ar-SA"/>
        </w:rPr>
        <w:t>演出所在地县级文化行政部门应当加强对专业剧场、体育场（馆）、歌舞娱乐场所、宾馆饭店、公园、景区等各类演出场所演出活动的监督管理，对在专业剧场、体育场（馆）以及临时搭建舞台、看台举办的非定点涉外及涉港澳台营业性演出，要进行现场监督检查；对在歌舞娱乐场所、宾馆饭店等举办的定点涉外及涉港澳台营业性演出，要进行定期或不定期检查。举办单位应当积极配合文化行政部门和执法机构的现场监管工作。演出所在地县级文化行政部门应当制作营业性演出现场监督检查记录表，将监督检查情况和处理意见予以记录，由监督检查人和被监督检查单位签字存档。</w:t>
      </w:r>
    </w:p>
    <w:p>
      <w:pPr>
        <w:spacing w:line="460" w:lineRule="exact"/>
        <w:ind w:firstLine="643" w:firstLineChars="200"/>
        <w:rPr>
          <w:rFonts w:hint="eastAsia" w:ascii="仿宋_GB2312" w:eastAsia="仿宋_GB2312" w:cs="黑体"/>
          <w:sz w:val="32"/>
          <w:szCs w:val="32"/>
          <w:lang w:bidi="ar-SA"/>
        </w:rPr>
      </w:pPr>
      <w:r>
        <w:rPr>
          <w:rFonts w:hint="eastAsia" w:ascii="楷体_GB2312" w:eastAsia="楷体_GB2312" w:cs="黑体"/>
          <w:b/>
          <w:bCs/>
          <w:sz w:val="32"/>
          <w:szCs w:val="32"/>
          <w:lang w:bidi="ar-SA"/>
        </w:rPr>
        <w:t>（二）按投诉举报线索进行检查。</w:t>
      </w:r>
      <w:r>
        <w:rPr>
          <w:rFonts w:hint="eastAsia" w:ascii="仿宋_GB2312" w:eastAsia="仿宋_GB2312" w:cs="黑体"/>
          <w:sz w:val="32"/>
          <w:szCs w:val="32"/>
          <w:lang w:bidi="ar-SA"/>
        </w:rPr>
        <w:t>公布监督举报投诉电话、传真、邮寄地址，及时受理并核查。核查情况及处理结果及时反馈举报者。</w:t>
      </w:r>
    </w:p>
    <w:p>
      <w:pPr>
        <w:spacing w:line="460" w:lineRule="exact"/>
        <w:ind w:firstLine="643" w:firstLineChars="200"/>
        <w:rPr>
          <w:rFonts w:hint="eastAsia" w:ascii="仿宋_GB2312" w:eastAsia="仿宋_GB2312" w:cs="黑体"/>
          <w:sz w:val="32"/>
          <w:szCs w:val="32"/>
          <w:lang w:bidi="ar-SA"/>
        </w:rPr>
      </w:pPr>
      <w:r>
        <w:rPr>
          <w:rFonts w:hint="eastAsia" w:ascii="楷体_GB2312" w:eastAsia="楷体_GB2312" w:cs="黑体"/>
          <w:b/>
          <w:bCs/>
          <w:sz w:val="32"/>
          <w:szCs w:val="32"/>
          <w:lang w:bidi="ar-SA"/>
        </w:rPr>
        <w:t>（三）抄告抄报相关职能部门。</w:t>
      </w:r>
      <w:r>
        <w:rPr>
          <w:rFonts w:hint="eastAsia" w:ascii="仿宋_GB2312" w:eastAsia="仿宋_GB2312" w:cs="黑体"/>
          <w:sz w:val="32"/>
          <w:szCs w:val="32"/>
          <w:lang w:bidi="ar-SA"/>
        </w:rPr>
        <w:t>演出所在地县级文化行政部门在事中事后监管中发现违法行为属于执法部门监管职责的，应当及时通报各级文化执法机构，加强监管协作，实现信息及时交换，监管与执法相互衔接，防止出现监管真空。</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六、监管处理</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（一）对在监管检查过程中，发现的违规违法行为，根据《</w:t>
      </w:r>
      <w:r>
        <w:rPr>
          <w:rFonts w:hint="eastAsia" w:ascii="仿宋_GB2312" w:eastAsia="仿宋_GB2312"/>
          <w:color w:val="000000"/>
          <w:sz w:val="32"/>
          <w:szCs w:val="32"/>
        </w:rPr>
        <w:t>营业性演出管理条例</w:t>
      </w:r>
      <w:r>
        <w:rPr>
          <w:rFonts w:hint="eastAsia" w:ascii="仿宋_GB2312" w:eastAsia="仿宋_GB2312"/>
          <w:sz w:val="32"/>
          <w:szCs w:val="32"/>
        </w:rPr>
        <w:t>》、《营业性演出管理条例实施细则》等相关规定进行处理；构成犯罪的，及时移交司法机关追究刑事责任。</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（二）将违法违规处理的演出经纪机构列入全国演艺企业黑名单范畴，对其后续开展的演出活动进行重点监管。</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七、监管是否涉及其它部门</w:t>
      </w:r>
    </w:p>
    <w:p>
      <w:pPr>
        <w:spacing w:line="460" w:lineRule="exact"/>
        <w:ind w:firstLine="643" w:firstLineChars="200"/>
        <w:rPr>
          <w:rFonts w:hint="eastAsia" w:ascii="仿宋_GB2312" w:eastAsia="仿宋_GB2312"/>
          <w:sz w:val="32"/>
          <w:szCs w:val="32"/>
        </w:rPr>
      </w:pPr>
      <w:r>
        <w:rPr>
          <w:rFonts w:hint="eastAsia" w:ascii="楷体_GB2312" w:eastAsia="楷体_GB2312"/>
          <w:b/>
          <w:bCs/>
          <w:sz w:val="32"/>
          <w:szCs w:val="32"/>
        </w:rPr>
        <w:t>（一）部门协管。</w:t>
      </w:r>
      <w:r>
        <w:rPr>
          <w:rFonts w:hint="eastAsia" w:ascii="仿宋_GB2312" w:eastAsia="仿宋_GB2312"/>
          <w:sz w:val="32"/>
          <w:szCs w:val="32"/>
        </w:rPr>
        <w:t>建立与工商、公安、消防等单位信息共享、通报机制；</w:t>
      </w:r>
    </w:p>
    <w:p>
      <w:pPr>
        <w:spacing w:line="460" w:lineRule="exact"/>
        <w:ind w:firstLine="643" w:firstLineChars="200"/>
        <w:rPr>
          <w:rFonts w:hint="eastAsia" w:ascii="仿宋_GB2312" w:eastAsia="仿宋_GB2312"/>
          <w:sz w:val="32"/>
          <w:szCs w:val="32"/>
        </w:rPr>
      </w:pPr>
      <w:r>
        <w:rPr>
          <w:rFonts w:hint="eastAsia" w:ascii="楷体_GB2312" w:eastAsia="楷体_GB2312"/>
          <w:b/>
          <w:bCs/>
          <w:sz w:val="32"/>
          <w:szCs w:val="32"/>
        </w:rPr>
        <w:t>（二）社会共管。</w:t>
      </w:r>
      <w:r>
        <w:rPr>
          <w:rFonts w:hint="eastAsia" w:ascii="仿宋_GB2312" w:eastAsia="仿宋_GB2312"/>
          <w:sz w:val="32"/>
          <w:szCs w:val="32"/>
        </w:rPr>
        <w:t>实现社会共同监管，充分发挥演出行业组织和社会公众的监督作用，实现社会共同监管，推动市场主体自我约束、诚信经营。</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八、监管处室</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福建省文化厅市场与产业处</w:t>
      </w:r>
    </w:p>
    <w:p>
      <w:pPr>
        <w:spacing w:line="460" w:lineRule="exact"/>
        <w:ind w:firstLine="640" w:firstLineChars="200"/>
        <w:rPr>
          <w:rFonts w:hint="eastAsia" w:ascii="黑体" w:eastAsia="黑体" w:cs="黑体"/>
          <w:sz w:val="32"/>
          <w:szCs w:val="32"/>
          <w:lang w:bidi="ar-SA"/>
        </w:rPr>
      </w:pPr>
      <w:r>
        <w:rPr>
          <w:rFonts w:hint="eastAsia" w:ascii="黑体" w:eastAsia="黑体" w:cs="黑体"/>
          <w:sz w:val="32"/>
          <w:szCs w:val="32"/>
          <w:lang w:bidi="ar-SA"/>
        </w:rPr>
        <w:t>九、投诉举报电话</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0591-87118113</w:t>
      </w: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pPr>
        <w:spacing w:line="460" w:lineRule="exact"/>
        <w:ind w:firstLine="640" w:firstLineChars="200"/>
        <w:rPr>
          <w:rFonts w:hint="eastAsia" w:ascii="仿宋_GB2312" w:eastAsia="仿宋_GB2312"/>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35A3E1E"/>
    <w:rsid w:val="6F5E15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uiPriority w:val="0"/>
    <w:pPr>
      <w:widowControl w:val="0"/>
      <w:tabs>
        <w:tab w:val="center" w:pos="4153"/>
        <w:tab w:val="right" w:pos="8306"/>
      </w:tabs>
      <w:snapToGrid w:val="0"/>
      <w:jc w:val="left"/>
    </w:pPr>
    <w:rPr>
      <w:rFonts w:ascii="Calibri" w:hAnsi="Calibri"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陈亚萍</cp:lastModifiedBy>
  <dcterms:modified xsi:type="dcterms:W3CDTF">2018-08-27T08:56:14Z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