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小标宋简体" w:hAnsi="华文中宋" w:eastAsia="方正小标宋简体"/>
          <w:sz w:val="44"/>
          <w:szCs w:val="44"/>
          <w:highlight w:val="none"/>
        </w:rPr>
      </w:pPr>
      <w:r>
        <w:rPr>
          <w:rFonts w:hint="eastAsia" w:ascii="方正小标宋简体" w:hAnsi="华文中宋" w:eastAsia="方正小标宋简体"/>
          <w:sz w:val="44"/>
          <w:szCs w:val="44"/>
          <w:highlight w:val="none"/>
        </w:rPr>
        <w:t>危险化学品生产企业安全生产许可</w:t>
      </w:r>
    </w:p>
    <w:p>
      <w:pPr>
        <w:spacing w:line="640" w:lineRule="exact"/>
        <w:jc w:val="center"/>
        <w:rPr>
          <w:rFonts w:ascii="方正小标宋简体" w:hAnsi="华文中宋" w:eastAsia="方正小标宋简体"/>
          <w:sz w:val="44"/>
          <w:szCs w:val="44"/>
          <w:highlight w:val="none"/>
        </w:rPr>
      </w:pPr>
      <w:r>
        <w:rPr>
          <w:rFonts w:hint="eastAsia" w:ascii="方正小标宋简体" w:hAnsi="华文中宋" w:eastAsia="方正小标宋简体"/>
          <w:sz w:val="44"/>
          <w:szCs w:val="44"/>
          <w:highlight w:val="none"/>
        </w:rPr>
        <w:t>严格准入监管措施</w:t>
      </w:r>
    </w:p>
    <w:p>
      <w:pPr>
        <w:spacing w:line="560" w:lineRule="exact"/>
        <w:ind w:firstLine="640" w:firstLineChars="200"/>
        <w:rPr>
          <w:rFonts w:eastAsia="方正仿宋"/>
          <w:sz w:val="32"/>
          <w:szCs w:val="32"/>
        </w:rPr>
      </w:pPr>
    </w:p>
    <w:p>
      <w:pPr>
        <w:spacing w:line="560" w:lineRule="exact"/>
        <w:ind w:firstLine="640" w:firstLineChars="200"/>
        <w:rPr>
          <w:rFonts w:ascii="方正黑体" w:eastAsia="方正黑体"/>
          <w:sz w:val="32"/>
          <w:szCs w:val="32"/>
        </w:rPr>
      </w:pPr>
      <w:r>
        <w:rPr>
          <w:rFonts w:hint="eastAsia" w:ascii="方正黑体" w:eastAsia="方正黑体"/>
          <w:sz w:val="32"/>
          <w:szCs w:val="32"/>
        </w:rPr>
        <w:t>一、明示审查要求</w:t>
      </w:r>
    </w:p>
    <w:p>
      <w:pPr>
        <w:spacing w:line="560" w:lineRule="exact"/>
        <w:ind w:firstLine="640" w:firstLineChars="200"/>
        <w:rPr>
          <w:rFonts w:eastAsia="方正仿宋"/>
          <w:sz w:val="32"/>
          <w:szCs w:val="32"/>
        </w:rPr>
      </w:pPr>
      <w:r>
        <w:rPr>
          <w:rFonts w:eastAsia="方正仿宋"/>
          <w:sz w:val="32"/>
          <w:szCs w:val="32"/>
        </w:rPr>
        <w:t>1</w:t>
      </w:r>
      <w:r>
        <w:rPr>
          <w:rFonts w:hint="eastAsia" w:eastAsia="方正仿宋"/>
          <w:sz w:val="32"/>
          <w:szCs w:val="32"/>
        </w:rPr>
        <w:t>．在网站、办公场所公示危险化学品生产企业安全生产许可证许可办事指南、申请表以及《安全生产法》、《安全生产许可证条例》、《危险化学品安全管理条例》等相关法律法规，提高公众对许可证核发申请的知晓度。</w:t>
      </w:r>
    </w:p>
    <w:p>
      <w:pPr>
        <w:spacing w:line="560" w:lineRule="exact"/>
        <w:ind w:firstLine="640" w:firstLineChars="200"/>
        <w:rPr>
          <w:rFonts w:eastAsia="方正仿宋"/>
          <w:sz w:val="32"/>
          <w:szCs w:val="32"/>
        </w:rPr>
      </w:pPr>
      <w:r>
        <w:rPr>
          <w:rFonts w:eastAsia="方正仿宋"/>
          <w:sz w:val="32"/>
          <w:szCs w:val="32"/>
        </w:rPr>
        <w:t>2</w:t>
      </w:r>
      <w:r>
        <w:rPr>
          <w:rFonts w:hint="eastAsia" w:eastAsia="方正仿宋"/>
          <w:sz w:val="32"/>
          <w:szCs w:val="32"/>
        </w:rPr>
        <w:t>．在网站、办公场所公示《危险化学品生产企业安全生产许可证实施办法》，告知许可证核发的标准、条件和要求。</w:t>
      </w:r>
    </w:p>
    <w:p>
      <w:pPr>
        <w:spacing w:line="560" w:lineRule="exact"/>
        <w:ind w:firstLine="640" w:firstLineChars="200"/>
        <w:rPr>
          <w:rFonts w:ascii="方正黑体" w:eastAsia="方正黑体"/>
          <w:sz w:val="32"/>
          <w:szCs w:val="32"/>
        </w:rPr>
      </w:pPr>
      <w:r>
        <w:rPr>
          <w:rFonts w:hint="eastAsia" w:ascii="方正黑体" w:eastAsia="方正黑体"/>
          <w:sz w:val="32"/>
          <w:szCs w:val="32"/>
        </w:rPr>
        <w:t>二、加强市场准入监控</w:t>
      </w:r>
    </w:p>
    <w:p>
      <w:pPr>
        <w:spacing w:line="560" w:lineRule="exact"/>
        <w:ind w:firstLine="640" w:firstLineChars="200"/>
        <w:rPr>
          <w:rFonts w:eastAsia="方正仿宋"/>
          <w:sz w:val="32"/>
          <w:szCs w:val="32"/>
        </w:rPr>
      </w:pPr>
      <w:r>
        <w:rPr>
          <w:rFonts w:eastAsia="方正仿宋"/>
          <w:sz w:val="32"/>
          <w:szCs w:val="32"/>
        </w:rPr>
        <w:t>3</w:t>
      </w:r>
      <w:r>
        <w:rPr>
          <w:rFonts w:hint="eastAsia" w:eastAsia="方正仿宋"/>
          <w:sz w:val="32"/>
          <w:szCs w:val="32"/>
        </w:rPr>
        <w:t>．禁止伪造、涂改、倒卖、出租、出借、转让危险化学品安全生产许可证，违者按《安全生产许可证条例》进行处罚。</w:t>
      </w:r>
    </w:p>
    <w:p>
      <w:pPr>
        <w:spacing w:line="560" w:lineRule="exact"/>
        <w:ind w:firstLine="640" w:firstLineChars="200"/>
        <w:rPr>
          <w:rFonts w:eastAsia="方正仿宋"/>
          <w:sz w:val="32"/>
          <w:szCs w:val="32"/>
        </w:rPr>
      </w:pPr>
      <w:r>
        <w:rPr>
          <w:rFonts w:eastAsia="方正仿宋"/>
          <w:sz w:val="32"/>
          <w:szCs w:val="32"/>
        </w:rPr>
        <w:t>4</w:t>
      </w:r>
      <w:r>
        <w:rPr>
          <w:rFonts w:hint="eastAsia" w:eastAsia="方正仿宋"/>
          <w:sz w:val="32"/>
          <w:szCs w:val="32"/>
        </w:rPr>
        <w:t>．加强危险化学品生产企业的监督，设立</w:t>
      </w:r>
      <w:r>
        <w:rPr>
          <w:rFonts w:eastAsia="方正仿宋"/>
          <w:sz w:val="32"/>
          <w:szCs w:val="32"/>
        </w:rPr>
        <w:t>12350</w:t>
      </w:r>
      <w:r>
        <w:rPr>
          <w:rFonts w:hint="eastAsia" w:eastAsia="方正仿宋"/>
          <w:sz w:val="32"/>
          <w:szCs w:val="32"/>
        </w:rPr>
        <w:t>监督举报电话。</w:t>
      </w:r>
    </w:p>
    <w:p>
      <w:pPr>
        <w:spacing w:line="560" w:lineRule="exact"/>
        <w:ind w:firstLine="640" w:firstLineChars="200"/>
        <w:rPr>
          <w:rFonts w:ascii="方正黑体" w:eastAsia="方正黑体"/>
          <w:sz w:val="32"/>
          <w:szCs w:val="32"/>
        </w:rPr>
      </w:pPr>
      <w:r>
        <w:rPr>
          <w:rFonts w:hint="eastAsia" w:ascii="方正黑体" w:eastAsia="方正黑体"/>
          <w:sz w:val="32"/>
          <w:szCs w:val="32"/>
        </w:rPr>
        <w:t>三、加强日常监管</w:t>
      </w:r>
    </w:p>
    <w:p>
      <w:pPr>
        <w:spacing w:line="560" w:lineRule="exact"/>
        <w:ind w:firstLine="640" w:firstLineChars="200"/>
        <w:rPr>
          <w:rFonts w:eastAsia="方正仿宋"/>
          <w:sz w:val="32"/>
          <w:szCs w:val="32"/>
        </w:rPr>
      </w:pPr>
      <w:r>
        <w:rPr>
          <w:rFonts w:eastAsia="方正仿宋"/>
          <w:sz w:val="32"/>
          <w:szCs w:val="32"/>
        </w:rPr>
        <w:t>5</w:t>
      </w:r>
      <w:r>
        <w:rPr>
          <w:rFonts w:hint="eastAsia" w:eastAsia="方正仿宋"/>
          <w:sz w:val="32"/>
          <w:szCs w:val="32"/>
        </w:rPr>
        <w:t>．建立危险化学品安全生产许可证网上许可制度，通过“福建省网上办事大厅”对危险化学品安全生产许可证进行网上许可，生成电子证照。</w:t>
      </w:r>
    </w:p>
    <w:p>
      <w:pPr>
        <w:spacing w:line="560" w:lineRule="exact"/>
        <w:ind w:firstLine="640" w:firstLineChars="200"/>
        <w:rPr>
          <w:rFonts w:eastAsia="方正仿宋"/>
          <w:sz w:val="32"/>
          <w:szCs w:val="32"/>
        </w:rPr>
      </w:pPr>
      <w:r>
        <w:rPr>
          <w:rFonts w:eastAsia="方正仿宋"/>
          <w:sz w:val="32"/>
          <w:szCs w:val="32"/>
        </w:rPr>
        <w:t>6</w:t>
      </w:r>
      <w:r>
        <w:rPr>
          <w:rFonts w:hint="eastAsia" w:eastAsia="方正仿宋"/>
          <w:sz w:val="32"/>
          <w:szCs w:val="32"/>
        </w:rPr>
        <w:t>．加强对取得危险化学品生产许可企业的日常监管工作。认真制定和执行年度执法计划，编制监督检查方案，对企业日常生产活动进行监督检查，重点检查企业是否在许可范围内组织生产，生产过程中是否持续符合许可的安全条件。</w:t>
      </w:r>
    </w:p>
    <w:p>
      <w:pPr>
        <w:spacing w:line="560" w:lineRule="exact"/>
        <w:ind w:firstLine="640" w:firstLineChars="200"/>
        <w:rPr>
          <w:rFonts w:eastAsia="方正仿宋"/>
          <w:sz w:val="32"/>
          <w:szCs w:val="32"/>
        </w:rPr>
      </w:pPr>
      <w:r>
        <w:rPr>
          <w:rFonts w:eastAsia="方正仿宋"/>
          <w:sz w:val="32"/>
          <w:szCs w:val="32"/>
        </w:rPr>
        <w:t>7</w:t>
      </w:r>
      <w:r>
        <w:rPr>
          <w:rFonts w:hint="eastAsia" w:eastAsia="方正仿宋"/>
          <w:sz w:val="32"/>
          <w:szCs w:val="32"/>
        </w:rPr>
        <w:t>．依法对企业生产过程中的违法行为实施行政处罚。</w:t>
      </w:r>
    </w:p>
    <w:p>
      <w:pPr>
        <w:spacing w:line="560" w:lineRule="exact"/>
        <w:ind w:firstLine="640" w:firstLineChars="200"/>
        <w:rPr>
          <w:rFonts w:eastAsia="方正仿宋"/>
          <w:sz w:val="32"/>
          <w:szCs w:val="32"/>
        </w:rPr>
      </w:pPr>
      <w:r>
        <w:rPr>
          <w:rFonts w:eastAsia="方正仿宋"/>
          <w:sz w:val="32"/>
          <w:szCs w:val="32"/>
        </w:rPr>
        <w:t>8</w:t>
      </w:r>
      <w:r>
        <w:rPr>
          <w:rFonts w:hint="eastAsia" w:eastAsia="方正仿宋"/>
          <w:sz w:val="32"/>
          <w:szCs w:val="32"/>
        </w:rPr>
        <w:t>．对未按规定取得安全生产许可，擅自开展生产建设活动的生产经营单位及其有关人员存在的失信行为，纳入联合惩戒管理对象。</w:t>
      </w:r>
    </w:p>
    <w:p>
      <w:pPr>
        <w:ind w:right="-334" w:rightChars="-159" w:firstLine="630"/>
        <w:rPr>
          <w:rFonts w:ascii="仿宋" w:hAnsi="仿宋" w:eastAsia="仿宋" w:cs="仿宋_GB2312"/>
          <w:kern w:val="0"/>
          <w:sz w:val="32"/>
          <w:szCs w:val="32"/>
        </w:rPr>
      </w:pPr>
    </w:p>
    <w:p>
      <w:pPr>
        <w:spacing w:line="640" w:lineRule="exact"/>
        <w:jc w:val="center"/>
        <w:rPr>
          <w:rFonts w:ascii="仿宋" w:hAnsi="仿宋" w:eastAsia="仿宋" w:cs="方正小标宋简体"/>
          <w:sz w:val="44"/>
          <w:szCs w:val="44"/>
        </w:rPr>
      </w:pPr>
    </w:p>
    <w:p>
      <w:pPr>
        <w:spacing w:line="640" w:lineRule="exact"/>
        <w:jc w:val="center"/>
        <w:rPr>
          <w:rFonts w:ascii="仿宋" w:hAnsi="仿宋" w:eastAsia="仿宋" w:cs="方正小标宋简体"/>
          <w:sz w:val="44"/>
          <w:szCs w:val="44"/>
        </w:rPr>
      </w:pPr>
    </w:p>
    <w:p>
      <w:pPr>
        <w:spacing w:line="640" w:lineRule="exact"/>
        <w:jc w:val="center"/>
        <w:rPr>
          <w:rFonts w:ascii="仿宋" w:hAnsi="仿宋" w:eastAsia="仿宋" w:cs="方正小标宋简体"/>
          <w:sz w:val="44"/>
          <w:szCs w:val="44"/>
        </w:rPr>
      </w:pPr>
    </w:p>
    <w:p>
      <w:pPr>
        <w:spacing w:line="640" w:lineRule="exact"/>
        <w:jc w:val="center"/>
        <w:rPr>
          <w:rFonts w:ascii="仿宋" w:hAnsi="仿宋" w:eastAsia="仿宋" w:cs="方正小标宋简体"/>
          <w:sz w:val="44"/>
          <w:szCs w:val="44"/>
        </w:rPr>
      </w:pPr>
    </w:p>
    <w:p>
      <w:pPr>
        <w:spacing w:line="640" w:lineRule="exact"/>
        <w:jc w:val="center"/>
        <w:rPr>
          <w:rFonts w:ascii="仿宋" w:hAnsi="仿宋" w:eastAsia="仿宋" w:cs="方正小标宋简体"/>
          <w:sz w:val="44"/>
          <w:szCs w:val="44"/>
        </w:rPr>
      </w:pPr>
    </w:p>
    <w:p>
      <w:pPr>
        <w:spacing w:line="640" w:lineRule="exact"/>
        <w:jc w:val="center"/>
        <w:rPr>
          <w:rFonts w:ascii="仿宋" w:hAnsi="仿宋" w:eastAsia="仿宋" w:cs="方正小标宋简体"/>
          <w:sz w:val="44"/>
          <w:szCs w:val="44"/>
        </w:rPr>
      </w:pPr>
    </w:p>
    <w:p>
      <w:pPr>
        <w:spacing w:line="640" w:lineRule="exact"/>
        <w:jc w:val="center"/>
        <w:rPr>
          <w:rFonts w:ascii="仿宋" w:hAnsi="仿宋" w:eastAsia="仿宋" w:cs="方正小标宋简体"/>
          <w:sz w:val="44"/>
          <w:szCs w:val="44"/>
        </w:rPr>
      </w:pPr>
    </w:p>
    <w:p>
      <w:pPr>
        <w:spacing w:line="640" w:lineRule="exact"/>
        <w:jc w:val="center"/>
        <w:rPr>
          <w:rFonts w:ascii="仿宋" w:hAnsi="仿宋" w:eastAsia="仿宋" w:cs="方正小标宋简体"/>
          <w:sz w:val="44"/>
          <w:szCs w:val="44"/>
        </w:rPr>
      </w:pPr>
    </w:p>
    <w:p>
      <w:pPr>
        <w:spacing w:line="640" w:lineRule="exact"/>
        <w:jc w:val="center"/>
        <w:rPr>
          <w:rFonts w:ascii="仿宋" w:hAnsi="仿宋" w:eastAsia="仿宋" w:cs="方正小标宋简体"/>
          <w:sz w:val="44"/>
          <w:szCs w:val="44"/>
        </w:rPr>
      </w:pPr>
    </w:p>
    <w:p>
      <w:pPr>
        <w:spacing w:line="640" w:lineRule="exact"/>
        <w:jc w:val="center"/>
        <w:rPr>
          <w:rFonts w:ascii="仿宋" w:hAnsi="仿宋" w:eastAsia="仿宋" w:cs="方正小标宋简体"/>
          <w:sz w:val="44"/>
          <w:szCs w:val="44"/>
        </w:rPr>
      </w:pPr>
    </w:p>
    <w:p>
      <w:pPr>
        <w:spacing w:line="640" w:lineRule="exact"/>
        <w:jc w:val="center"/>
        <w:rPr>
          <w:rFonts w:ascii="仿宋" w:hAnsi="仿宋" w:eastAsia="仿宋" w:cs="方正小标宋简体"/>
          <w:sz w:val="44"/>
          <w:szCs w:val="44"/>
        </w:rPr>
      </w:pPr>
    </w:p>
    <w:p>
      <w:pPr>
        <w:spacing w:line="640" w:lineRule="exact"/>
        <w:jc w:val="center"/>
        <w:rPr>
          <w:rFonts w:ascii="仿宋" w:hAnsi="仿宋" w:eastAsia="仿宋" w:cs="方正小标宋简体"/>
          <w:sz w:val="44"/>
          <w:szCs w:val="44"/>
        </w:rPr>
      </w:pPr>
    </w:p>
    <w:p>
      <w:pPr>
        <w:spacing w:line="640" w:lineRule="exact"/>
        <w:jc w:val="center"/>
        <w:rPr>
          <w:rFonts w:ascii="仿宋" w:hAnsi="仿宋" w:eastAsia="仿宋" w:cs="方正小标宋简体"/>
          <w:sz w:val="44"/>
          <w:szCs w:val="44"/>
        </w:rPr>
      </w:pPr>
    </w:p>
    <w:p>
      <w:pPr>
        <w:spacing w:line="640" w:lineRule="exact"/>
        <w:jc w:val="center"/>
        <w:rPr>
          <w:rFonts w:ascii="仿宋" w:hAnsi="仿宋" w:eastAsia="仿宋" w:cs="方正小标宋简体"/>
          <w:sz w:val="44"/>
          <w:szCs w:val="44"/>
        </w:rPr>
      </w:pPr>
    </w:p>
    <w:p>
      <w:pPr>
        <w:spacing w:line="640" w:lineRule="exact"/>
        <w:jc w:val="center"/>
        <w:rPr>
          <w:rFonts w:ascii="仿宋" w:hAnsi="仿宋" w:eastAsia="仿宋" w:cs="方正小标宋简体"/>
          <w:sz w:val="44"/>
          <w:szCs w:val="44"/>
        </w:rPr>
      </w:pPr>
    </w:p>
    <w:p>
      <w:pPr>
        <w:spacing w:line="640" w:lineRule="exact"/>
        <w:rPr>
          <w:rFonts w:ascii="仿宋" w:hAnsi="仿宋" w:eastAsia="仿宋" w:cs="方正小标宋简体"/>
          <w:sz w:val="44"/>
          <w:szCs w:val="44"/>
        </w:rPr>
      </w:pPr>
      <w:bookmarkStart w:id="0" w:name="_GoBack"/>
      <w:bookmarkEnd w:id="0"/>
    </w:p>
    <w:sectPr>
      <w:footerReference r:id="rId3" w:type="default"/>
      <w:footerReference r:id="rId4" w:type="even"/>
      <w:pgSz w:w="11906" w:h="16838"/>
      <w:pgMar w:top="1701" w:right="1531" w:bottom="1701" w:left="1531" w:header="851" w:footer="1361" w:gutter="0"/>
      <w:cols w:space="425" w:num="1"/>
      <w:docGrid w:type="lines" w:linePitch="287" w:charSpace="-14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2010601030101010101"/>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仿宋">
    <w:altName w:val="宋体"/>
    <w:panose1 w:val="03000509000000000000"/>
    <w:charset w:val="86"/>
    <w:family w:val="script"/>
    <w:pitch w:val="default"/>
    <w:sig w:usb0="00000000" w:usb1="00000000" w:usb2="00000010" w:usb3="00000000" w:csb0="00040000" w:csb1="00000000"/>
  </w:font>
  <w:font w:name="方正黑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书宋">
    <w:altName w:val="宋体"/>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ind w:right="269" w:rightChars="128" w:firstLine="280" w:firstLineChars="100"/>
      <w:rPr>
        <w:rStyle w:val="5"/>
        <w:sz w:val="28"/>
        <w:szCs w:val="28"/>
      </w:rPr>
    </w:pPr>
    <w:r>
      <w:rPr>
        <w:rStyle w:val="5"/>
        <w:sz w:val="28"/>
        <w:szCs w:val="28"/>
      </w:rPr>
      <w:t xml:space="preserve">— </w:t>
    </w:r>
    <w:r>
      <w:rPr>
        <w:rStyle w:val="5"/>
        <w:rFonts w:ascii="方正书宋" w:eastAsia="方正书宋"/>
        <w:sz w:val="28"/>
        <w:szCs w:val="28"/>
      </w:rPr>
      <w:fldChar w:fldCharType="begin"/>
    </w:r>
    <w:r>
      <w:rPr>
        <w:rStyle w:val="5"/>
        <w:rFonts w:ascii="方正书宋" w:eastAsia="方正书宋"/>
        <w:sz w:val="28"/>
        <w:szCs w:val="28"/>
      </w:rPr>
      <w:instrText xml:space="preserve">PAGE  </w:instrText>
    </w:r>
    <w:r>
      <w:rPr>
        <w:rStyle w:val="5"/>
        <w:rFonts w:ascii="方正书宋" w:eastAsia="方正书宋"/>
        <w:sz w:val="28"/>
        <w:szCs w:val="28"/>
      </w:rPr>
      <w:fldChar w:fldCharType="separate"/>
    </w:r>
    <w:r>
      <w:rPr>
        <w:rStyle w:val="5"/>
        <w:rFonts w:ascii="方正书宋" w:eastAsia="方正书宋"/>
        <w:sz w:val="28"/>
        <w:szCs w:val="28"/>
      </w:rPr>
      <w:t>12</w:t>
    </w:r>
    <w:r>
      <w:rPr>
        <w:rStyle w:val="5"/>
        <w:rFonts w:ascii="方正书宋" w:eastAsia="方正书宋"/>
        <w:sz w:val="28"/>
        <w:szCs w:val="28"/>
      </w:rPr>
      <w:fldChar w:fldCharType="end"/>
    </w:r>
    <w:r>
      <w:rPr>
        <w:rStyle w:val="5"/>
        <w:sz w:val="28"/>
        <w:szCs w:val="28"/>
      </w:rPr>
      <w:t xml:space="preserve"> —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Pr>
    </w:pPr>
    <w:r>
      <w:rPr>
        <w:rStyle w:val="5"/>
      </w:rPr>
      <w:fldChar w:fldCharType="begin"/>
    </w:r>
    <w:r>
      <w:rPr>
        <w:rStyle w:val="5"/>
      </w:rPr>
      <w:instrText xml:space="preserve">PAGE  </w:instrText>
    </w:r>
    <w:r>
      <w:rPr>
        <w:rStyle w:val="5"/>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366E"/>
    <w:rsid w:val="00077A45"/>
    <w:rsid w:val="000C4835"/>
    <w:rsid w:val="00285EF1"/>
    <w:rsid w:val="002C0893"/>
    <w:rsid w:val="0042017C"/>
    <w:rsid w:val="0048366E"/>
    <w:rsid w:val="00520C42"/>
    <w:rsid w:val="00560DD3"/>
    <w:rsid w:val="00594326"/>
    <w:rsid w:val="005D3073"/>
    <w:rsid w:val="00602FC7"/>
    <w:rsid w:val="00750ED5"/>
    <w:rsid w:val="007F0F26"/>
    <w:rsid w:val="00895FC9"/>
    <w:rsid w:val="008D5750"/>
    <w:rsid w:val="009710A3"/>
    <w:rsid w:val="00A65B3D"/>
    <w:rsid w:val="00A94B19"/>
    <w:rsid w:val="00AA3B53"/>
    <w:rsid w:val="00B320F0"/>
    <w:rsid w:val="00B419F1"/>
    <w:rsid w:val="00C4280A"/>
    <w:rsid w:val="00C828A8"/>
    <w:rsid w:val="00CB5C98"/>
    <w:rsid w:val="00CB66F4"/>
    <w:rsid w:val="00D11D16"/>
    <w:rsid w:val="00E331F6"/>
    <w:rsid w:val="00E52E56"/>
    <w:rsid w:val="00EB4186"/>
    <w:rsid w:val="00FA319F"/>
    <w:rsid w:val="00FC5C9F"/>
    <w:rsid w:val="13A56E2B"/>
    <w:rsid w:val="4967647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Footer Char"/>
    <w:basedOn w:val="4"/>
    <w:link w:val="2"/>
    <w:qFormat/>
    <w:locked/>
    <w:uiPriority w:val="99"/>
    <w:rPr>
      <w:rFonts w:ascii="Times New Roman" w:hAnsi="Times New Roman" w:eastAsia="宋体" w:cs="Times New Roman"/>
      <w:sz w:val="18"/>
      <w:szCs w:val="18"/>
    </w:rPr>
  </w:style>
  <w:style w:type="character" w:customStyle="1" w:styleId="8">
    <w:name w:val="Header Char"/>
    <w:basedOn w:val="4"/>
    <w:link w:val="3"/>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12</Pages>
  <Words>620</Words>
  <Characters>3540</Characters>
  <Lines>0</Lines>
  <Paragraphs>0</Paragraphs>
  <TotalTime>14</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2018-07-26T08:19:00Z</dcterms:created>
  <dc:creator>dell01</dc:creator>
  <cp:lastModifiedBy>陈亚萍</cp:lastModifiedBy>
  <dcterms:modified xsi:type="dcterms:W3CDTF">2018-08-27T09:49:04Z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