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24" w:lineRule="auto"/>
        <w:jc w:val="center"/>
        <w:rPr>
          <w:rFonts w:hint="eastAsia" w:ascii="黑体" w:hAnsi="黑体" w:eastAsia="黑体"/>
          <w:sz w:val="32"/>
          <w:szCs w:val="32"/>
        </w:rPr>
      </w:pPr>
      <w:bookmarkStart w:id="0" w:name="_GoBack"/>
      <w:r>
        <w:rPr>
          <w:rFonts w:hint="eastAsia" w:ascii="黑体" w:hAnsi="黑体" w:eastAsia="黑体"/>
          <w:sz w:val="32"/>
          <w:szCs w:val="32"/>
        </w:rPr>
        <w:t>医疗器械广告审批事中事后监管方案</w:t>
      </w:r>
    </w:p>
    <w:bookmarkEnd w:id="0"/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为贯彻落实国务院关于“证照分离”改革试点精神、省政府</w:t>
      </w:r>
      <w:r>
        <w:rPr>
          <w:rFonts w:hint="eastAsia" w:ascii="仿宋" w:hAnsi="仿宋" w:eastAsia="仿宋" w:cs="宋体"/>
          <w:sz w:val="32"/>
          <w:szCs w:val="32"/>
        </w:rPr>
        <w:t>《关于印发福建省开展“证照分离”改革试点工作方案的通知》（闽政[2017]55号）精神, 根据《厦门市人民政府办公厅关于印发厦门市进一步推进“证照分离”改革试点工作实施方案的通知》（厦府办[2018]109号）中关于将“</w:t>
      </w:r>
      <w:r>
        <w:rPr>
          <w:rFonts w:hint="eastAsia" w:ascii="仿宋" w:hAnsi="仿宋" w:eastAsia="仿宋"/>
          <w:sz w:val="32"/>
          <w:szCs w:val="32"/>
        </w:rPr>
        <w:t>医疗器械广告审批”事项实行告知承诺制的部署和要求，为进一步加强该事项的事中事后监管，现制定医疗器械广告事中事后监管方案如下：</w:t>
      </w:r>
    </w:p>
    <w:p>
      <w:pPr>
        <w:ind w:firstLine="630" w:firstLineChars="196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一、监管对象</w:t>
      </w:r>
    </w:p>
    <w:p>
      <w:pPr>
        <w:ind w:firstLine="627" w:firstLineChars="196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医疗器械广告</w:t>
      </w:r>
    </w:p>
    <w:p>
      <w:pPr>
        <w:ind w:firstLine="630" w:firstLineChars="196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二、监管内容</w:t>
      </w:r>
    </w:p>
    <w:p>
      <w:pPr>
        <w:ind w:firstLine="627" w:firstLineChars="196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依据《中华人民共和国广告法》、《医疗器械监督管理条例》（国务院令第650号，2017年国务院令第680号修订）、《医疗器械广告审查发布标准》（国家工商行政管理总局、中华人民共和国卫生部、国家食品药品监督管理局令第40号）、《医疗器械广告审查办法》（国家工商行政管理总局、国家食品药品监督管理总局令第65号）等相关规定进行监管。</w:t>
      </w:r>
    </w:p>
    <w:p>
      <w:pPr>
        <w:ind w:firstLine="630" w:firstLineChars="196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三、监管措施</w:t>
      </w:r>
    </w:p>
    <w:p>
      <w:pPr>
        <w:ind w:firstLine="640" w:firstLineChars="200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</w:t>
      </w:r>
      <w:r>
        <w:rPr>
          <w:rFonts w:hint="eastAsia" w:ascii="仿宋" w:hAnsi="仿宋" w:eastAsia="仿宋" w:cs="仿宋_GB2312"/>
          <w:sz w:val="32"/>
          <w:szCs w:val="32"/>
        </w:rPr>
        <w:t>区局以上市场监督管理部门根据《中华人民共和国广告法》和《医疗器械广告审查发布标准》的相关规定加强对辖区内发布的医疗器械广告进行监测检查，对公众投诉、举报、上级部门转送的违法线索，组织开展监督检查。对宣传力度大、影响面广的异地广告加大抽查监测力度，并按以下情况处理：</w:t>
      </w:r>
    </w:p>
    <w:p>
      <w:pPr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    1.如取得文号的广告内容本身存在问题，责令其限期对广告内容进行整改，限期整改的期限不超过10日。整改后符合要求的，企业在取得新的广告文号后，更正在媒体上发布的广告内容。整改后仍不符合条件的，函告医疗器械广告审查机关依法撤销行政审批决定。</w:t>
      </w:r>
    </w:p>
    <w:p>
      <w:pPr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    2.如取得文号的广告内容本身符合要求，而企业实际发布的广告内容篡改经批准广告内容的，责令企业限期更正在媒体上发布的广告，限期整改的期限不超过10日。整改后仍不符合条件的，函告医疗器械广告审查机关依法撤销行政审批决定。</w:t>
      </w:r>
    </w:p>
    <w:p>
      <w:pPr>
        <w:ind w:firstLine="640" w:firstLineChars="200"/>
        <w:rPr>
          <w:rFonts w:hint="eastAsia" w:ascii="仿宋" w:hAnsi="仿宋" w:eastAsia="仿宋" w:cs="仿宋_GB2312"/>
          <w:color w:val="0000FF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二）对在监督检查过程中，发现的违规违法行为，根据《中华人民共和国广告法》、《医疗器械监督管理条例》、《医疗器械广告审查办法》等相关规定，及时移交稽查部门进行处理;构成犯罪的，及时移交司法机关追究刑事责任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5BF965FB"/>
    <w:rsid w:val="6F5E158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zhaoxinlei</dc:creator>
  <cp:lastModifiedBy>陈亚萍</cp:lastModifiedBy>
  <dcterms:modified xsi:type="dcterms:W3CDTF">2018-08-27T10:02:21Z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