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auto"/>
          <w:sz w:val="32"/>
          <w:szCs w:val="32"/>
          <w:highlight w:val="none"/>
        </w:rPr>
      </w:pPr>
      <w:bookmarkStart w:id="1" w:name="_GoBack"/>
      <w:bookmarkEnd w:id="1"/>
      <w:r>
        <w:rPr>
          <w:rFonts w:hint="eastAsia" w:ascii="黑体" w:hAnsi="黑体" w:eastAsia="黑体" w:cs="黑体"/>
          <w:color w:val="auto"/>
          <w:sz w:val="32"/>
          <w:szCs w:val="32"/>
          <w:highlight w:val="none"/>
        </w:rPr>
        <w:t>附件1</w:t>
      </w:r>
    </w:p>
    <w:p>
      <w:pPr>
        <w:spacing w:line="600" w:lineRule="exact"/>
        <w:rPr>
          <w:rFonts w:ascii="黑体" w:hAnsi="黑体" w:eastAsia="黑体" w:cs="黑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2025年省国际贸易单一窗口数据安全管理</w:t>
      </w:r>
    </w:p>
    <w:p>
      <w:pPr>
        <w:spacing w:line="60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服务项目服务内容及</w:t>
      </w:r>
      <w:r>
        <w:rPr>
          <w:rFonts w:hint="eastAsia" w:ascii="方正小标宋简体" w:hAnsi="方正小标宋简体" w:eastAsia="方正小标宋简体" w:cs="方正小标宋简体"/>
          <w:color w:val="auto"/>
          <w:sz w:val="44"/>
          <w:szCs w:val="44"/>
          <w:highlight w:val="none"/>
          <w:lang w:val="en-US" w:eastAsia="zh"/>
        </w:rPr>
        <w:t>其他</w:t>
      </w:r>
      <w:r>
        <w:rPr>
          <w:rFonts w:hint="eastAsia" w:ascii="方正小标宋简体" w:hAnsi="方正小标宋简体" w:eastAsia="方正小标宋简体" w:cs="方正小标宋简体"/>
          <w:color w:val="auto"/>
          <w:sz w:val="44"/>
          <w:szCs w:val="44"/>
          <w:highlight w:val="none"/>
          <w:lang w:val="en-US" w:eastAsia="zh-CN"/>
        </w:rPr>
        <w:t>要求</w:t>
      </w:r>
    </w:p>
    <w:p>
      <w:pPr>
        <w:spacing w:line="60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spacing w:line="600" w:lineRule="exact"/>
        <w:ind w:firstLine="640" w:firstLineChars="200"/>
        <w:rPr>
          <w:rFonts w:ascii="黑体" w:hAnsi="黑体" w:eastAsia="黑体" w:cs="黑体"/>
          <w:sz w:val="32"/>
          <w:szCs w:val="32"/>
          <w:highlight w:val="none"/>
        </w:rPr>
      </w:pPr>
      <w:bookmarkStart w:id="0" w:name="OLE_LINK1"/>
      <w:r>
        <w:rPr>
          <w:rFonts w:hint="eastAsia" w:ascii="黑体" w:hAnsi="黑体" w:eastAsia="黑体" w:cs="黑体"/>
          <w:sz w:val="32"/>
          <w:szCs w:val="32"/>
          <w:highlight w:val="none"/>
        </w:rPr>
        <w:t>一、服务内容</w:t>
      </w:r>
    </w:p>
    <w:p>
      <w:pPr>
        <w:spacing w:line="580" w:lineRule="exact"/>
        <w:ind w:firstLine="643" w:firstLineChars="200"/>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（一）数据资产信息管理服务</w:t>
      </w:r>
    </w:p>
    <w:p>
      <w:pPr>
        <w:spacing w:line="580" w:lineRule="exact"/>
        <w:ind w:firstLine="640" w:firstLineChars="200"/>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提供数据资产信息管理服务，基于已盘点的数据资产清单，对变动的数据资产进行更新、维护管理，从不同维度整理资产信息，例如了解数据库和应用系统现况、数据库表空间使用情况、高权限账号的使用情况等。提供数据资产分类分级服务，根据行业规范和业务系统特点、数据重要性对数据资产进行分类分级管理，并提供数据分类分级统计服务。</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（二）数据资产行为分析服务</w:t>
      </w:r>
    </w:p>
    <w:p>
      <w:pPr>
        <w:spacing w:line="580" w:lineRule="exact"/>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提供监控数据资产访问行为分析管理服务，以数据库表为资产粒度和对象，基于数据资产分类分级表，对数据资产的访问类型进行分析，掌握数据资产访问情况，监控数据访问行为，对异常数据访问告警来源账号、来源IP以及执行的操作等信息。每</w:t>
      </w:r>
      <w:r>
        <w:rPr>
          <w:rFonts w:hint="eastAsia" w:ascii="仿宋_GB2312" w:hAnsi="仿宋_GB2312" w:eastAsia="仿宋_GB2312" w:cs="仿宋_GB2312"/>
          <w:sz w:val="32"/>
          <w:szCs w:val="32"/>
          <w:highlight w:val="none"/>
          <w:lang w:eastAsia="zh-CN"/>
        </w:rPr>
        <w:t>半年</w:t>
      </w:r>
      <w:r>
        <w:rPr>
          <w:rFonts w:hint="eastAsia" w:ascii="仿宋_GB2312" w:hAnsi="仿宋_GB2312" w:eastAsia="仿宋_GB2312" w:cs="仿宋_GB2312"/>
          <w:sz w:val="32"/>
          <w:szCs w:val="32"/>
          <w:highlight w:val="none"/>
        </w:rPr>
        <w:t>输出1份数据资产访问行为分析报告，服务期内输出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z w:val="32"/>
          <w:szCs w:val="32"/>
          <w:highlight w:val="none"/>
          <w:lang w:eastAsia="zh-CN"/>
        </w:rPr>
        <w:t>。</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（三）数据资产安全评估服务</w:t>
      </w:r>
    </w:p>
    <w:p>
      <w:pPr>
        <w:spacing w:line="580" w:lineRule="exact"/>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提供数据资产综合安全评估服务，根据数据资产的重要程度，结合数据应用场景，对数据资产价值、数据脆弱性、数据威胁性进行风险建模，得出风险分析结果。数据应用场景采用识别业务流程或使用流程、相关数据活动、参与主体的方式确定。数据资产价值主要从其所包含的敏感信息如个人信息、企业信息等被破坏、窃取、篡改造成的危害和影响确定。资产脆弱性识别通过分析数据应用场景中脆弱点可能被利用的访问路径、访问复杂性、鉴别次数判断脆弱性可利用性，应用场景中已部署了安全措施，可视情况调整可利用性等级。数据威胁性主要分析数据在应用场景流转过程可能影响数据机密性、完整性、可用性及可控性的威胁类型，并对其属性进行赋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w:t>
      </w:r>
      <w:r>
        <w:rPr>
          <w:rFonts w:hint="eastAsia" w:ascii="仿宋_GB2312" w:hAnsi="仿宋_GB2312" w:eastAsia="仿宋_GB2312" w:cs="仿宋_GB2312"/>
          <w:sz w:val="32"/>
          <w:szCs w:val="32"/>
          <w:highlight w:val="none"/>
          <w:lang w:eastAsia="zh-CN"/>
        </w:rPr>
        <w:t>半年</w:t>
      </w:r>
      <w:r>
        <w:rPr>
          <w:rFonts w:hint="eastAsia" w:ascii="仿宋_GB2312" w:hAnsi="仿宋_GB2312" w:eastAsia="仿宋_GB2312" w:cs="仿宋_GB2312"/>
          <w:sz w:val="32"/>
          <w:szCs w:val="32"/>
          <w:highlight w:val="none"/>
        </w:rPr>
        <w:t>输出1份数据资产安全评估报告，服务期内输出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份。</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（四）数据库账户权限管理服务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数据库账户的权限管理服务，从用户维度对数据库账户权限进行梳理，实现数据库账户权限的有效管理；发现数据库中账户权限分布情况，监控数据库账号权限变化，并定期检查数据库权限。针对数据库账号权限不符合安全运维管理规范等情况，根据使用者角色不同，设计数据库权限分离制度，协助建设单位完成数据库权限整改工作。</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（五）数据库安全扫描服务</w:t>
      </w:r>
    </w:p>
    <w:p>
      <w:pPr>
        <w:spacing w:line="58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提供数据库安全扫描服务，数据库安全扫描包括数据库漏洞扫描、数据库配置缺陷扫描、数据库弱口令扫描。漏洞类型分成：弱口令、缺省口令、配置缺陷、脆弱点、数据库漏洞、补丁等；提供漏洞类别、危害等级、详细描述和解决方案建议，生成数据库安全扫描分析报告。</w:t>
      </w:r>
    </w:p>
    <w:bookmarkEnd w:id="0"/>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（六）数据安全审计服务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数据异常对象监控服务，帮助用户实时统计访问数据的请求和风险，提升数据库运行监控的透明度；提供完整记录业务处理过程中重要数据的变更修改数据库审计日志内容；提供完整记录业务处理过程中业务数据删除行为的数据库审计日志内容，定期提供数据库安全审计报告，及时发现异常告警行为并快速分析和定位，为整体数据安全管理提供决策依据。</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（七）数据安全管理体系建设</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省单国际贸易单一窗口建设情况，以及参考《中华人民共和国数据安全法》、《中华人民共和国个人信息保护法》研究数据管理范围和制度，逐步完善一套数据安全管理考核指标体系，进一步加强对各建设、运维方数据操作规程等方面的管理服务。</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（八）数据安全规范管理服务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一步完善数据安全管理规程，明确数据管理范围，划分各方数据管理权限，督促省国际贸易单一窗口各建设方、运维方遵循并应用统一的数据管理规范。主要围绕数据库账号安全、数据访问安全、数据库运维安全、数据安全防护等内容规范管理制度。编制数据采集安全规范、数据存储安全规范、数据处理安全规范、数据共享安全规范、数据销毁安全规范等数据全生命周期安全管理规范内容。</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（九）数据交换（三级节点）监控服务</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w:t>
      </w:r>
      <w:r>
        <w:rPr>
          <w:rFonts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rPr>
        <w:t>数据交换平台监控</w:t>
      </w:r>
      <w:r>
        <w:rPr>
          <w:rFonts w:hint="eastAsia" w:ascii="仿宋_GB2312" w:hAnsi="仿宋_GB2312" w:eastAsia="仿宋_GB2312" w:cs="仿宋_GB2312"/>
          <w:sz w:val="32"/>
          <w:szCs w:val="32"/>
          <w:highlight w:val="none"/>
        </w:rPr>
        <w:t>，监控数据交换平台的运行状态、资源池监控、报文阻塞情况等状态。</w:t>
      </w:r>
    </w:p>
    <w:p>
      <w:pPr>
        <w:spacing w:line="580" w:lineRule="exact"/>
        <w:ind w:firstLine="643" w:firstLineChars="200"/>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b/>
          <w:strike w:val="0"/>
          <w:dstrike w:val="0"/>
          <w:sz w:val="32"/>
          <w:szCs w:val="32"/>
          <w:highlight w:val="none"/>
        </w:rPr>
        <w:t>2</w:t>
      </w:r>
      <w:r>
        <w:rPr>
          <w:rFonts w:ascii="仿宋_GB2312" w:hAnsi="仿宋_GB2312" w:eastAsia="仿宋_GB2312" w:cs="仿宋_GB2312"/>
          <w:b/>
          <w:strike w:val="0"/>
          <w:dstrike w:val="0"/>
          <w:sz w:val="32"/>
          <w:szCs w:val="32"/>
          <w:highlight w:val="none"/>
        </w:rPr>
        <w:t>.</w:t>
      </w:r>
      <w:r>
        <w:rPr>
          <w:rFonts w:hint="eastAsia" w:ascii="仿宋_GB2312" w:hAnsi="仿宋_GB2312" w:eastAsia="仿宋_GB2312" w:cs="仿宋_GB2312"/>
          <w:b/>
          <w:strike w:val="0"/>
          <w:dstrike w:val="0"/>
          <w:sz w:val="32"/>
          <w:szCs w:val="32"/>
          <w:highlight w:val="none"/>
        </w:rPr>
        <w:t>数据交换链路监控</w:t>
      </w:r>
      <w:r>
        <w:rPr>
          <w:rFonts w:hint="eastAsia" w:ascii="仿宋_GB2312" w:hAnsi="仿宋_GB2312" w:eastAsia="仿宋_GB2312" w:cs="仿宋_GB2312"/>
          <w:strike w:val="0"/>
          <w:dstrike w:val="0"/>
          <w:sz w:val="32"/>
          <w:szCs w:val="32"/>
          <w:highlight w:val="none"/>
        </w:rPr>
        <w:t>，监控数据交换平台的报文传输过程，及时跟踪报文处理路径，提供运维快速定位。</w:t>
      </w:r>
    </w:p>
    <w:p>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w:t>
      </w:r>
      <w:r>
        <w:rPr>
          <w:rFonts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rPr>
        <w:t>监控告警管理</w:t>
      </w:r>
      <w:r>
        <w:rPr>
          <w:rFonts w:hint="eastAsia" w:ascii="仿宋_GB2312" w:hAnsi="仿宋_GB2312" w:eastAsia="仿宋_GB2312" w:cs="仿宋_GB2312"/>
          <w:sz w:val="32"/>
          <w:szCs w:val="32"/>
          <w:highlight w:val="none"/>
        </w:rPr>
        <w:t>，提供告警规则配置、生成、展现、发送、统计等功能。</w:t>
      </w:r>
    </w:p>
    <w:p>
      <w:pPr>
        <w:spacing w:line="58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（十）应急演练服务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家相关法律法规和监管部门有关规定，完善数据安全事件应急工作机制，提高数据安全事件应急处置能力，预防和减少政务数据安全事件造成的损失和危害。针对数据安全进行应急演练服务，设计数据安全管理应急演练场景，组织相关人员开展演练；帮助建立健全数据安全应急工作机制，完善应急预案。</w:t>
      </w:r>
    </w:p>
    <w:p>
      <w:pPr>
        <w:spacing w:line="600" w:lineRule="exact"/>
        <w:ind w:firstLine="640" w:firstLineChars="200"/>
        <w:rPr>
          <w:rFonts w:hint="eastAsia" w:ascii="黑体" w:hAnsi="黑体" w:eastAsia="黑体" w:cs="黑体"/>
          <w:color w:val="auto"/>
          <w:sz w:val="32"/>
          <w:szCs w:val="32"/>
          <w:highlight w:val="none"/>
          <w:lang w:eastAsia="zh"/>
        </w:rPr>
      </w:pPr>
      <w:r>
        <w:rPr>
          <w:rFonts w:hint="eastAsia" w:ascii="黑体" w:hAnsi="黑体" w:eastAsia="黑体" w:cs="黑体"/>
          <w:color w:val="auto"/>
          <w:sz w:val="32"/>
          <w:szCs w:val="32"/>
          <w:highlight w:val="none"/>
        </w:rPr>
        <w:t>二、其他</w:t>
      </w:r>
      <w:r>
        <w:rPr>
          <w:rFonts w:hint="eastAsia" w:ascii="黑体" w:hAnsi="黑体" w:eastAsia="黑体" w:cs="黑体"/>
          <w:color w:val="auto"/>
          <w:sz w:val="32"/>
          <w:szCs w:val="32"/>
          <w:highlight w:val="none"/>
          <w:lang w:eastAsia="zh"/>
        </w:rPr>
        <w:t>要求</w:t>
      </w:r>
    </w:p>
    <w:p>
      <w:pPr>
        <w:spacing w:line="600" w:lineRule="exact"/>
        <w:ind w:firstLine="640" w:firstLineChars="200"/>
        <w:rPr>
          <w:rFonts w:hint="eastAsia" w:ascii="黑体" w:hAnsi="黑体" w:eastAsia="黑体" w:cs="黑体"/>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服务时限：</w:t>
      </w:r>
      <w:r>
        <w:rPr>
          <w:rFonts w:hint="eastAsia" w:ascii="仿宋_GB2312" w:hAnsi="仿宋_GB2312" w:eastAsia="仿宋_GB2312" w:cs="仿宋_GB2312"/>
          <w:color w:val="auto"/>
          <w:sz w:val="32"/>
          <w:szCs w:val="32"/>
          <w:highlight w:val="none"/>
          <w:lang w:val="en-US" w:eastAsia="zh-CN"/>
        </w:rPr>
        <w:t>1年</w:t>
      </w:r>
      <w:r>
        <w:rPr>
          <w:rFonts w:hint="eastAsia" w:ascii="仿宋_GB2312" w:hAnsi="仿宋_GB2312" w:eastAsia="仿宋_GB2312" w:cs="宋体"/>
          <w:color w:val="auto"/>
          <w:kern w:val="0"/>
          <w:sz w:val="32"/>
          <w:szCs w:val="32"/>
          <w:highlight w:val="none"/>
        </w:rPr>
        <w:t>。</w:t>
      </w:r>
    </w:p>
    <w:p>
      <w:pPr>
        <w:spacing w:after="93" w:afterLines="30" w:line="600" w:lineRule="exact"/>
        <w:rPr>
          <w:rFonts w:hint="eastAsia" w:ascii="黑体" w:hAnsi="黑体" w:eastAsia="黑体" w:cs="黑体"/>
          <w:bCs/>
          <w:color w:val="auto"/>
          <w:sz w:val="32"/>
          <w:szCs w:val="32"/>
          <w:highlight w:val="none"/>
        </w:rPr>
      </w:pPr>
    </w:p>
    <w:p>
      <w:pPr>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br w:type="page"/>
      </w:r>
    </w:p>
    <w:p>
      <w:pPr>
        <w:spacing w:after="93" w:afterLines="30" w:line="60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2025年省国际贸易单一窗口数据安全管理服务项目</w:t>
      </w:r>
      <w:r>
        <w:rPr>
          <w:rFonts w:hint="eastAsia" w:ascii="方正小标宋简体" w:hAnsi="方正小标宋简体" w:eastAsia="方正小标宋简体" w:cs="方正小标宋简体"/>
          <w:color w:val="auto"/>
          <w:sz w:val="40"/>
          <w:szCs w:val="40"/>
          <w:highlight w:val="none"/>
        </w:rPr>
        <w:t>市场</w:t>
      </w:r>
      <w:r>
        <w:rPr>
          <w:rFonts w:hint="eastAsia" w:ascii="方正小标宋简体" w:hAnsi="方正小标宋简体" w:eastAsia="方正小标宋简体" w:cs="方正小标宋简体"/>
          <w:color w:val="auto"/>
          <w:sz w:val="40"/>
          <w:szCs w:val="40"/>
          <w:highlight w:val="none"/>
          <w:lang w:eastAsia="zh-CN"/>
        </w:rPr>
        <w:t>需求</w:t>
      </w:r>
      <w:r>
        <w:rPr>
          <w:rFonts w:hint="eastAsia" w:ascii="方正小标宋简体" w:hAnsi="方正小标宋简体" w:eastAsia="方正小标宋简体" w:cs="方正小标宋简体"/>
          <w:color w:val="auto"/>
          <w:sz w:val="40"/>
          <w:szCs w:val="40"/>
          <w:highlight w:val="none"/>
        </w:rPr>
        <w:t>调查报价</w:t>
      </w:r>
      <w:r>
        <w:rPr>
          <w:rFonts w:hint="eastAsia" w:ascii="方正小标宋简体" w:hAnsi="方正小标宋简体" w:eastAsia="方正小标宋简体" w:cs="方正小标宋简体"/>
          <w:color w:val="auto"/>
          <w:sz w:val="40"/>
          <w:szCs w:val="40"/>
          <w:highlight w:val="none"/>
          <w:lang w:val="en-US" w:eastAsia="zh-CN"/>
        </w:rPr>
        <w:t>单</w:t>
      </w:r>
    </w:p>
    <w:tbl>
      <w:tblPr>
        <w:tblStyle w:val="10"/>
        <w:tblW w:w="4998" w:type="pct"/>
        <w:jc w:val="center"/>
        <w:tblLayout w:type="autofit"/>
        <w:tblCellMar>
          <w:top w:w="0" w:type="dxa"/>
          <w:left w:w="108" w:type="dxa"/>
          <w:bottom w:w="0" w:type="dxa"/>
          <w:right w:w="108" w:type="dxa"/>
        </w:tblCellMar>
      </w:tblPr>
      <w:tblGrid>
        <w:gridCol w:w="452"/>
        <w:gridCol w:w="700"/>
        <w:gridCol w:w="3956"/>
        <w:gridCol w:w="1050"/>
        <w:gridCol w:w="2361"/>
      </w:tblGrid>
      <w:tr>
        <w:tblPrEx>
          <w:tblCellMar>
            <w:top w:w="0" w:type="dxa"/>
            <w:left w:w="108" w:type="dxa"/>
            <w:bottom w:w="0" w:type="dxa"/>
            <w:right w:w="108" w:type="dxa"/>
          </w:tblCellMar>
        </w:tblPrEx>
        <w:trPr>
          <w:trHeight w:val="288"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序号</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kern w:val="0"/>
                <w:sz w:val="21"/>
                <w:szCs w:val="21"/>
                <w:highlight w:val="none"/>
                <w:lang w:val="en-US" w:eastAsia="zh-CN" w:bidi="ar"/>
              </w:rPr>
              <w:t>项目内容</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auto"/>
                <w:kern w:val="0"/>
                <w:sz w:val="21"/>
                <w:szCs w:val="21"/>
                <w:highlight w:val="none"/>
                <w:lang w:val="en-US" w:eastAsia="zh-CN" w:bidi="ar"/>
              </w:rPr>
            </w:pPr>
            <w:r>
              <w:rPr>
                <w:rFonts w:hint="eastAsia" w:ascii="仿宋_GB2312" w:hAnsi="仿宋_GB2312" w:eastAsia="仿宋_GB2312" w:cs="仿宋_GB2312"/>
                <w:b/>
                <w:bCs/>
                <w:color w:val="auto"/>
                <w:kern w:val="0"/>
                <w:sz w:val="21"/>
                <w:szCs w:val="21"/>
                <w:highlight w:val="none"/>
                <w:lang w:val="en-US" w:eastAsia="zh-CN" w:bidi="ar"/>
              </w:rPr>
              <w:t>单价</w:t>
            </w:r>
          </w:p>
          <w:p>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（万元）</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auto"/>
                <w:kern w:val="0"/>
                <w:sz w:val="21"/>
                <w:szCs w:val="21"/>
                <w:highlight w:val="none"/>
                <w:lang w:bidi="ar"/>
              </w:rPr>
            </w:pPr>
            <w:r>
              <w:rPr>
                <w:rFonts w:hint="eastAsia" w:ascii="仿宋_GB2312" w:hAnsi="仿宋_GB2312" w:eastAsia="仿宋_GB2312" w:cs="仿宋_GB2312"/>
                <w:b/>
                <w:bCs/>
                <w:color w:val="auto"/>
                <w:kern w:val="0"/>
                <w:sz w:val="21"/>
                <w:szCs w:val="21"/>
                <w:highlight w:val="none"/>
                <w:lang w:val="en-US" w:eastAsia="zh-CN" w:bidi="ar"/>
              </w:rPr>
              <w:t>计价</w:t>
            </w:r>
            <w:r>
              <w:rPr>
                <w:rFonts w:hint="eastAsia" w:ascii="仿宋_GB2312" w:hAnsi="仿宋_GB2312" w:eastAsia="仿宋_GB2312" w:cs="仿宋_GB2312"/>
                <w:b/>
                <w:bCs/>
                <w:color w:val="auto"/>
                <w:kern w:val="0"/>
                <w:sz w:val="21"/>
                <w:szCs w:val="21"/>
                <w:highlight w:val="none"/>
                <w:lang w:eastAsia="zh-CN" w:bidi="ar"/>
              </w:rPr>
              <w:t>依据</w:t>
            </w: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1</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数据资产信息管理服务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2</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数据资产行为分析服务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3</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数据资产安全评估服务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4</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数据库账户权限管理服务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5</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数据库安全扫描服务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6</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数据安全审计服务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7</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数据安全管理体系建设</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8</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数据安全规范管理服务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9</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数据交换（三级节点）监控服务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45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10</w:t>
            </w:r>
          </w:p>
        </w:tc>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kern w:val="0"/>
                <w:sz w:val="21"/>
                <w:szCs w:val="21"/>
                <w:highlight w:val="none"/>
                <w:lang w:eastAsia="zh-CN" w:bidi="ar"/>
              </w:rPr>
              <w:t>应急演练服务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r>
      <w:tr>
        <w:tblPrEx>
          <w:tblCellMar>
            <w:top w:w="0" w:type="dxa"/>
            <w:left w:w="108" w:type="dxa"/>
            <w:bottom w:w="0" w:type="dxa"/>
            <w:right w:w="108" w:type="dxa"/>
          </w:tblCellMar>
        </w:tblPrEx>
        <w:trPr>
          <w:trHeight w:val="556" w:hRule="atLeast"/>
          <w:jc w:val="center"/>
        </w:trPr>
        <w:tc>
          <w:tcPr>
            <w:tcW w:w="67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
              </w:rPr>
              <w:t>报价总额</w:t>
            </w:r>
          </w:p>
        </w:tc>
        <w:tc>
          <w:tcPr>
            <w:tcW w:w="4323"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 xml:space="preserve">¥ </w:t>
            </w:r>
            <w:r>
              <w:rPr>
                <w:rFonts w:hint="eastAsia" w:ascii="仿宋_GB2312" w:hAnsi="仿宋_GB2312" w:eastAsia="仿宋_GB2312" w:cs="仿宋_GB2312"/>
                <w:i w:val="0"/>
                <w:caps w:val="0"/>
                <w:color w:val="auto"/>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auto"/>
                <w:spacing w:val="0"/>
                <w:kern w:val="0"/>
                <w:sz w:val="21"/>
                <w:szCs w:val="21"/>
                <w:shd w:val="clear" w:fill="FFFFFF"/>
                <w:lang w:val="en-US" w:eastAsia="zh-CN" w:bidi="ar"/>
              </w:rPr>
              <w:t>（大写：</w:t>
            </w:r>
            <w:r>
              <w:rPr>
                <w:rFonts w:hint="eastAsia" w:ascii="仿宋_GB2312" w:hAnsi="仿宋_GB2312" w:eastAsia="仿宋_GB2312" w:cs="仿宋_GB2312"/>
                <w:i w:val="0"/>
                <w:caps w:val="0"/>
                <w:color w:val="auto"/>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tc>
      </w:tr>
      <w:tr>
        <w:tblPrEx>
          <w:tblCellMar>
            <w:top w:w="0" w:type="dxa"/>
            <w:left w:w="108" w:type="dxa"/>
            <w:bottom w:w="0" w:type="dxa"/>
            <w:right w:w="108" w:type="dxa"/>
          </w:tblCellMar>
        </w:tblPrEx>
        <w:trPr>
          <w:trHeight w:val="253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我方已知悉贵单位要求的所有服务内容。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auto"/>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auto"/>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firstLine="3570" w:firstLineChars="170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报价单位名称（盖章）：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firstLine="3570" w:firstLineChars="170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法人或授权代表签字：</w:t>
            </w:r>
          </w:p>
          <w:p>
            <w:pPr>
              <w:widowControl/>
              <w:ind w:firstLine="3570" w:firstLineChars="1700"/>
              <w:jc w:val="left"/>
              <w:textAlignment w:val="center"/>
              <w:rPr>
                <w:rFonts w:hint="eastAsia" w:ascii="仿宋_GB2312" w:hAnsi="仿宋_GB2312" w:eastAsia="仿宋_GB2312" w:cs="仿宋_GB2312"/>
                <w:b w:val="0"/>
                <w:bCs w:val="0"/>
                <w:color w:val="auto"/>
                <w:kern w:val="0"/>
                <w:sz w:val="21"/>
                <w:szCs w:val="21"/>
                <w:highlight w:val="none"/>
                <w:lang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报价时间：  年  月  日</w:t>
            </w:r>
          </w:p>
        </w:tc>
      </w:tr>
      <w:tr>
        <w:tblPrEx>
          <w:tblCellMar>
            <w:top w:w="0" w:type="dxa"/>
            <w:left w:w="108" w:type="dxa"/>
            <w:bottom w:w="0" w:type="dxa"/>
            <w:right w:w="108" w:type="dxa"/>
          </w:tblCellMar>
        </w:tblPrEx>
        <w:trPr>
          <w:trHeight w:val="659" w:hRule="atLeast"/>
          <w:jc w:val="center"/>
        </w:trPr>
        <w:tc>
          <w:tcPr>
            <w:tcW w:w="29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leftChars="0" w:right="0" w:rightChars="0"/>
              <w:jc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联系人及联系电话</w:t>
            </w:r>
          </w:p>
        </w:tc>
        <w:tc>
          <w:tcPr>
            <w:tcW w:w="2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color w:val="auto"/>
                <w:kern w:val="0"/>
                <w:sz w:val="21"/>
                <w:szCs w:val="21"/>
                <w:highlight w:val="none"/>
                <w:lang w:bidi="ar"/>
              </w:rPr>
            </w:pPr>
          </w:p>
        </w:tc>
      </w:tr>
    </w:tbl>
    <w:p>
      <w:pPr>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仿宋_GB2312" w:hAnsi="仿宋_GB2312" w:eastAsia="仿宋_GB2312" w:cs="仿宋_GB2312"/>
          <w:b w:val="0"/>
          <w:bCs w:val="0"/>
          <w:color w:val="auto"/>
          <w:kern w:val="0"/>
          <w:sz w:val="32"/>
          <w:szCs w:val="32"/>
          <w:shd w:val="clear" w:fill="FFFFFF"/>
          <w:lang w:val="en-US" w:eastAsia="zh-CN" w:bidi="ar"/>
        </w:rPr>
        <w:t>备注：请按要求完整填报报价单信息，注明企业（单位）全称，由法人或授权人签字并加盖公章，否则视为无效。</w:t>
      </w:r>
    </w:p>
    <w:p>
      <w:pPr>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yellow"/>
        </w:rPr>
      </w:pPr>
    </w:p>
    <w:sectPr>
      <w:pgSz w:w="11906" w:h="16838"/>
      <w:pgMar w:top="1134" w:right="1800" w:bottom="85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5AE0D"/>
    <w:multiLevelType w:val="multilevel"/>
    <w:tmpl w:val="FC65AE0D"/>
    <w:lvl w:ilvl="0" w:tentative="0">
      <w:start w:val="1"/>
      <w:numFmt w:val="decimal"/>
      <w:lvlText w:val="%1."/>
      <w:lvlJc w:val="left"/>
      <w:pPr>
        <w:ind w:left="425" w:hanging="425"/>
      </w:pPr>
      <w:rPr>
        <w:rFonts w:hint="default" w:ascii="黑体" w:hAnsi="黑体" w:eastAsia="黑体" w:cs="宋体"/>
      </w:rPr>
    </w:lvl>
    <w:lvl w:ilvl="1" w:tentative="0">
      <w:start w:val="1"/>
      <w:numFmt w:val="decimal"/>
      <w:lvlRestart w:val="0"/>
      <w:pStyle w:val="2"/>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eastAsia" w:ascii="仿宋_GB2312" w:hAnsi="宋体" w:eastAsia="仿宋_GB2312"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ODVlNzg2Yzg1OTZkNGU5NDA4Y2FlZjU5MTFiZGIifQ=="/>
  </w:docVars>
  <w:rsids>
    <w:rsidRoot w:val="2E774D7E"/>
    <w:rsid w:val="001D64AF"/>
    <w:rsid w:val="0023335D"/>
    <w:rsid w:val="0027125B"/>
    <w:rsid w:val="00283407"/>
    <w:rsid w:val="0038754B"/>
    <w:rsid w:val="003B39E4"/>
    <w:rsid w:val="00470865"/>
    <w:rsid w:val="005A7F5F"/>
    <w:rsid w:val="006A61E3"/>
    <w:rsid w:val="006C6632"/>
    <w:rsid w:val="006E1A2E"/>
    <w:rsid w:val="00742161"/>
    <w:rsid w:val="00887F1E"/>
    <w:rsid w:val="009F5DE8"/>
    <w:rsid w:val="009F7B5B"/>
    <w:rsid w:val="00B4795C"/>
    <w:rsid w:val="00BA7225"/>
    <w:rsid w:val="00C07E91"/>
    <w:rsid w:val="00C71447"/>
    <w:rsid w:val="00C8031F"/>
    <w:rsid w:val="00DA5E27"/>
    <w:rsid w:val="00F778AA"/>
    <w:rsid w:val="00FD22CD"/>
    <w:rsid w:val="02ED7A62"/>
    <w:rsid w:val="033C0EB3"/>
    <w:rsid w:val="049F343C"/>
    <w:rsid w:val="04D16EC2"/>
    <w:rsid w:val="04DB1612"/>
    <w:rsid w:val="05467D5B"/>
    <w:rsid w:val="062E3B58"/>
    <w:rsid w:val="09AC7A08"/>
    <w:rsid w:val="0BBA6DAD"/>
    <w:rsid w:val="0C395EFA"/>
    <w:rsid w:val="0CEA6A12"/>
    <w:rsid w:val="0E2C41C4"/>
    <w:rsid w:val="0F4D3C7F"/>
    <w:rsid w:val="0F9B75C7"/>
    <w:rsid w:val="0FB92A32"/>
    <w:rsid w:val="13392CAD"/>
    <w:rsid w:val="13530AA4"/>
    <w:rsid w:val="14E60C13"/>
    <w:rsid w:val="153179E3"/>
    <w:rsid w:val="156754A6"/>
    <w:rsid w:val="16627E1F"/>
    <w:rsid w:val="175B784E"/>
    <w:rsid w:val="17D17D9B"/>
    <w:rsid w:val="18903A92"/>
    <w:rsid w:val="19526B34"/>
    <w:rsid w:val="19BB4AC7"/>
    <w:rsid w:val="19C66FDE"/>
    <w:rsid w:val="1A6F2112"/>
    <w:rsid w:val="1BF3363D"/>
    <w:rsid w:val="1C282632"/>
    <w:rsid w:val="1E153111"/>
    <w:rsid w:val="1FAE1421"/>
    <w:rsid w:val="21F877D3"/>
    <w:rsid w:val="223F767A"/>
    <w:rsid w:val="23DD2C75"/>
    <w:rsid w:val="24E74766"/>
    <w:rsid w:val="26853DF2"/>
    <w:rsid w:val="269404CF"/>
    <w:rsid w:val="269C3827"/>
    <w:rsid w:val="27BC7973"/>
    <w:rsid w:val="28321957"/>
    <w:rsid w:val="28553C8E"/>
    <w:rsid w:val="291D3AC1"/>
    <w:rsid w:val="29C77B34"/>
    <w:rsid w:val="2A612DBE"/>
    <w:rsid w:val="2C0A7D0A"/>
    <w:rsid w:val="2C3914CD"/>
    <w:rsid w:val="2C55065C"/>
    <w:rsid w:val="2C7B7C5F"/>
    <w:rsid w:val="2CDF621C"/>
    <w:rsid w:val="2D984CCD"/>
    <w:rsid w:val="2E4046B4"/>
    <w:rsid w:val="2E774D7E"/>
    <w:rsid w:val="2EAF037F"/>
    <w:rsid w:val="2EDC0C65"/>
    <w:rsid w:val="2F0E4C7B"/>
    <w:rsid w:val="2F491227"/>
    <w:rsid w:val="2F9E416C"/>
    <w:rsid w:val="2FE813FF"/>
    <w:rsid w:val="30790319"/>
    <w:rsid w:val="30A13BD7"/>
    <w:rsid w:val="30DE4845"/>
    <w:rsid w:val="31126FE4"/>
    <w:rsid w:val="31D61E41"/>
    <w:rsid w:val="32EF3ED8"/>
    <w:rsid w:val="33152997"/>
    <w:rsid w:val="33A042BD"/>
    <w:rsid w:val="33A258DA"/>
    <w:rsid w:val="34920361"/>
    <w:rsid w:val="34FD4236"/>
    <w:rsid w:val="357A2C41"/>
    <w:rsid w:val="36715A7B"/>
    <w:rsid w:val="36976FF2"/>
    <w:rsid w:val="36D47D93"/>
    <w:rsid w:val="36DB2584"/>
    <w:rsid w:val="36F33C0B"/>
    <w:rsid w:val="377F6B2A"/>
    <w:rsid w:val="38975BFC"/>
    <w:rsid w:val="39094D4C"/>
    <w:rsid w:val="3A582540"/>
    <w:rsid w:val="3B882F2C"/>
    <w:rsid w:val="3C83005A"/>
    <w:rsid w:val="3CB45907"/>
    <w:rsid w:val="3F343130"/>
    <w:rsid w:val="3F8C2362"/>
    <w:rsid w:val="43CD6726"/>
    <w:rsid w:val="44C631ED"/>
    <w:rsid w:val="46753BC9"/>
    <w:rsid w:val="470D62F4"/>
    <w:rsid w:val="474A246F"/>
    <w:rsid w:val="4792346C"/>
    <w:rsid w:val="47D74267"/>
    <w:rsid w:val="493A2A7F"/>
    <w:rsid w:val="496E14B8"/>
    <w:rsid w:val="4A2C56F5"/>
    <w:rsid w:val="4A7E45EE"/>
    <w:rsid w:val="4AE91A6E"/>
    <w:rsid w:val="4B0E7FA0"/>
    <w:rsid w:val="4B2F5541"/>
    <w:rsid w:val="4CC25AA5"/>
    <w:rsid w:val="4F292049"/>
    <w:rsid w:val="4F4E3DF4"/>
    <w:rsid w:val="4F4E74E3"/>
    <w:rsid w:val="4F96695E"/>
    <w:rsid w:val="51426BF5"/>
    <w:rsid w:val="5200049C"/>
    <w:rsid w:val="52CF406F"/>
    <w:rsid w:val="537B63EF"/>
    <w:rsid w:val="53C8522C"/>
    <w:rsid w:val="54B206F8"/>
    <w:rsid w:val="54F853F6"/>
    <w:rsid w:val="55B81234"/>
    <w:rsid w:val="55C30659"/>
    <w:rsid w:val="55D97650"/>
    <w:rsid w:val="56D904AE"/>
    <w:rsid w:val="578339EB"/>
    <w:rsid w:val="57923690"/>
    <w:rsid w:val="57AC7F94"/>
    <w:rsid w:val="59032EE8"/>
    <w:rsid w:val="598D656A"/>
    <w:rsid w:val="5B5E7CFD"/>
    <w:rsid w:val="5BC76DBF"/>
    <w:rsid w:val="5C290918"/>
    <w:rsid w:val="5EFE7CA3"/>
    <w:rsid w:val="5F3376FB"/>
    <w:rsid w:val="61564461"/>
    <w:rsid w:val="615728C1"/>
    <w:rsid w:val="61856F4B"/>
    <w:rsid w:val="61D66F19"/>
    <w:rsid w:val="623866DF"/>
    <w:rsid w:val="629C5B27"/>
    <w:rsid w:val="62D774F4"/>
    <w:rsid w:val="62F53A2B"/>
    <w:rsid w:val="62F57CBE"/>
    <w:rsid w:val="637908B7"/>
    <w:rsid w:val="66445773"/>
    <w:rsid w:val="669B2670"/>
    <w:rsid w:val="66BE6AA8"/>
    <w:rsid w:val="66DF2F5B"/>
    <w:rsid w:val="673F23A8"/>
    <w:rsid w:val="67924868"/>
    <w:rsid w:val="67980EC5"/>
    <w:rsid w:val="68BA4A4A"/>
    <w:rsid w:val="68D335E9"/>
    <w:rsid w:val="6957415C"/>
    <w:rsid w:val="6A2E16B9"/>
    <w:rsid w:val="6AEA1A38"/>
    <w:rsid w:val="6B047505"/>
    <w:rsid w:val="6B894F68"/>
    <w:rsid w:val="6BC844C2"/>
    <w:rsid w:val="6C076BED"/>
    <w:rsid w:val="6C3C3B39"/>
    <w:rsid w:val="6C950AE3"/>
    <w:rsid w:val="6DF7504C"/>
    <w:rsid w:val="6E290AC9"/>
    <w:rsid w:val="6E77D913"/>
    <w:rsid w:val="6EAF1886"/>
    <w:rsid w:val="6F1C42DC"/>
    <w:rsid w:val="6FAD5006"/>
    <w:rsid w:val="6FBE68CB"/>
    <w:rsid w:val="70281B61"/>
    <w:rsid w:val="709B77FB"/>
    <w:rsid w:val="724C7AD9"/>
    <w:rsid w:val="72D83519"/>
    <w:rsid w:val="72F91802"/>
    <w:rsid w:val="72FC7376"/>
    <w:rsid w:val="73097DC6"/>
    <w:rsid w:val="734F1C41"/>
    <w:rsid w:val="75754A52"/>
    <w:rsid w:val="78422526"/>
    <w:rsid w:val="7A663EFA"/>
    <w:rsid w:val="7C4B4301"/>
    <w:rsid w:val="7FCF3DBA"/>
    <w:rsid w:val="AE5FDC53"/>
    <w:rsid w:val="FFEA8D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840"/>
      </w:tabs>
      <w:spacing w:before="180" w:after="180" w:line="413" w:lineRule="auto"/>
      <w:ind w:firstLine="0"/>
      <w:outlineLvl w:val="1"/>
    </w:pPr>
    <w:rPr>
      <w:rFonts w:ascii="Arial" w:hAnsi="Arial" w:eastAsia="楷体"/>
      <w:b/>
      <w:sz w:val="30"/>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4"/>
    <w:next w:val="4"/>
    <w:link w:val="19"/>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列表段落1"/>
    <w:basedOn w:val="1"/>
    <w:qFormat/>
    <w:uiPriority w:val="34"/>
    <w:pPr>
      <w:ind w:firstLine="420" w:firstLineChars="200"/>
    </w:pPr>
  </w:style>
  <w:style w:type="character" w:customStyle="1" w:styleId="15">
    <w:name w:val="font21"/>
    <w:basedOn w:val="11"/>
    <w:qFormat/>
    <w:uiPriority w:val="0"/>
    <w:rPr>
      <w:rFonts w:hint="eastAsia" w:ascii="黑体" w:hAnsi="宋体" w:eastAsia="黑体" w:cs="黑体"/>
      <w:color w:val="000000"/>
      <w:sz w:val="21"/>
      <w:szCs w:val="21"/>
      <w:u w:val="none"/>
    </w:rPr>
  </w:style>
  <w:style w:type="character" w:customStyle="1" w:styleId="16">
    <w:name w:val="页眉 字符"/>
    <w:basedOn w:val="11"/>
    <w:link w:val="6"/>
    <w:qFormat/>
    <w:uiPriority w:val="0"/>
    <w:rPr>
      <w:rFonts w:asciiTheme="minorHAnsi" w:hAnsiTheme="minorHAnsi" w:eastAsiaTheme="minorEastAsia" w:cstheme="minorBidi"/>
      <w:kern w:val="2"/>
      <w:sz w:val="18"/>
      <w:szCs w:val="18"/>
    </w:rPr>
  </w:style>
  <w:style w:type="character" w:customStyle="1" w:styleId="17">
    <w:name w:val="页脚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2508</Words>
  <Characters>2548</Characters>
  <Lines>23</Lines>
  <Paragraphs>6</Paragraphs>
  <TotalTime>1</TotalTime>
  <ScaleCrop>false</ScaleCrop>
  <LinksUpToDate>false</LinksUpToDate>
  <CharactersWithSpaces>2591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2022-04-28T19:11:00Z</dcterms:created>
  <dc:creator>Administrator</dc:creator>
  <cp:lastModifiedBy>Administrator</cp:lastModifiedBy>
  <cp:lastPrinted>2022-04-29T00:39:00Z</cp:lastPrinted>
  <dcterms:modified xsi:type="dcterms:W3CDTF">2025-09-25T03:03:30Z</dcterms:modified>
  <dc:title>项目预算询价函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AF1F9616343F81AC8828C268727D1752_43</vt:lpwstr>
  </property>
  <property fmtid="{D5CDD505-2E9C-101B-9397-08002B2CF9AE}" pid="4" name="KSOTemplateDocerSaveRecord">
    <vt:lpwstr>eyJoZGlkIjoiZDhhZTQ1MTI2OGYyNDIwMzI3ZWNlZWMxMWE2MTM0MWYiLCJ1c2VySWQiOiIzMzY0MDg3MzYifQ==</vt:lpwstr>
  </property>
</Properties>
</file>