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　附件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8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供应商比选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5"/>
        <w:tblW w:w="5262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840"/>
        <w:gridCol w:w="4709"/>
        <w:gridCol w:w="155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cs="仿宋_GB2312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2025《投资福建》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宣传片摄制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（二次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报价单位名称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单位地址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2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费用项目名称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费用细项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小计（元）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666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《投资福建》宣传册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内容创意与脚本策划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多种语言解说词内容编写、翻译及配音（至少包含英语、西班牙语两种语言）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前期拍摄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tblCellSpacing w:w="0" w:type="dxa"/>
        </w:trPr>
        <w:tc>
          <w:tcPr>
            <w:tcW w:w="666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both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后期制作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250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计（元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470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¥：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 （大写： 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      ）</w:t>
            </w:r>
          </w:p>
        </w:tc>
        <w:tc>
          <w:tcPr>
            <w:tcW w:w="1558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  <w:tblCellSpacing w:w="0" w:type="dxa"/>
        </w:trPr>
        <w:tc>
          <w:tcPr>
            <w:tcW w:w="8773" w:type="dxa"/>
            <w:gridSpan w:val="4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我方已知悉贵单位要求的所有服务内容。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right="0"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报价单位(全称并盖章)：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right="0"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法人或授权人签字：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0" w:afterAutospacing="0" w:line="400" w:lineRule="exact"/>
              <w:ind w:left="0" w:right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年    月    日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  <w:lang w:val="en-US" w:eastAsia="zh-CN"/>
        </w:rPr>
        <w:t>登记证或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042C"/>
    <w:rsid w:val="01AC2E0D"/>
    <w:rsid w:val="03032BFE"/>
    <w:rsid w:val="036D7252"/>
    <w:rsid w:val="050D070A"/>
    <w:rsid w:val="05772E9B"/>
    <w:rsid w:val="085D32A6"/>
    <w:rsid w:val="0F6273CA"/>
    <w:rsid w:val="0F634E4C"/>
    <w:rsid w:val="15E8637F"/>
    <w:rsid w:val="17E02FAB"/>
    <w:rsid w:val="201F4440"/>
    <w:rsid w:val="207C294F"/>
    <w:rsid w:val="23574F07"/>
    <w:rsid w:val="23B33DF3"/>
    <w:rsid w:val="268550BF"/>
    <w:rsid w:val="2BED5484"/>
    <w:rsid w:val="32121533"/>
    <w:rsid w:val="346671F6"/>
    <w:rsid w:val="372F5CAE"/>
    <w:rsid w:val="378A5971"/>
    <w:rsid w:val="3875122D"/>
    <w:rsid w:val="3F806EB8"/>
    <w:rsid w:val="44FD6C09"/>
    <w:rsid w:val="4F323CFA"/>
    <w:rsid w:val="4F9949A4"/>
    <w:rsid w:val="552D2D4B"/>
    <w:rsid w:val="5A563FC2"/>
    <w:rsid w:val="5B17031E"/>
    <w:rsid w:val="5BF65C6D"/>
    <w:rsid w:val="60530A95"/>
    <w:rsid w:val="621B0CEE"/>
    <w:rsid w:val="66172557"/>
    <w:rsid w:val="66510A6B"/>
    <w:rsid w:val="66B6078F"/>
    <w:rsid w:val="67A6391B"/>
    <w:rsid w:val="6A3404AF"/>
    <w:rsid w:val="6D743DB9"/>
    <w:rsid w:val="73F1253D"/>
    <w:rsid w:val="78AC6806"/>
    <w:rsid w:val="79327D64"/>
    <w:rsid w:val="7BCF69FB"/>
    <w:rsid w:val="7D6F22D8"/>
    <w:rsid w:val="BFFDE8A6"/>
    <w:rsid w:val="FFFE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alloon Text"/>
    <w:basedOn w:val="1"/>
    <w:next w:val="2"/>
    <w:qFormat/>
    <w:uiPriority w:val="0"/>
    <w:rPr>
      <w:rFonts w:cs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2024-10-11T02:16:00Z</dcterms:created>
  <dc:creator>Administrator</dc:creator>
  <cp:lastModifiedBy>Lenovo</cp:lastModifiedBy>
  <cp:lastPrinted>2025-03-13T15:15:55Z</cp:lastPrinted>
  <dcterms:modified xsi:type="dcterms:W3CDTF">2025-03-13T15:39:57Z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DC5C34999047475580CCD30F4C91667A</vt:lpwstr>
  </property>
</Properties>
</file>