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93" w:afterAutospacing="0" w:line="600" w:lineRule="atLeast"/>
        <w:ind w:left="0" w:right="0" w:firstLine="0"/>
        <w:jc w:val="center"/>
        <w:rPr>
          <w:rFonts w:ascii="宋体" w:hAnsi="宋体" w:eastAsia="宋体" w:cs="宋体"/>
          <w:i w:val="0"/>
          <w:caps w:val="0"/>
          <w:color w:val="333333"/>
          <w:spacing w:val="0"/>
          <w:sz w:val="36"/>
          <w:szCs w:val="36"/>
        </w:rPr>
      </w:pPr>
      <w:bookmarkStart w:id="0" w:name="_GoBack"/>
      <w:r>
        <w:rPr>
          <w:rFonts w:ascii="方正小标宋简体" w:hAnsi="方正小标宋简体" w:eastAsia="方正小标宋简体" w:cs="方正小标宋简体"/>
          <w:i w:val="0"/>
          <w:caps w:val="0"/>
          <w:color w:val="333333"/>
          <w:spacing w:val="0"/>
          <w:kern w:val="0"/>
          <w:sz w:val="36"/>
          <w:szCs w:val="36"/>
          <w:shd w:val="clear" w:color="auto" w:fill="FFFFFF"/>
          <w:lang w:val="en-US" w:eastAsia="zh-CN" w:bidi="ar"/>
        </w:rPr>
        <w:t>项目</w:t>
      </w:r>
      <w:r>
        <w:rPr>
          <w:rFonts w:hint="eastAsia" w:ascii="方正小标宋简体" w:hAnsi="方正小标宋简体" w:eastAsia="方正小标宋简体" w:cs="方正小标宋简体"/>
          <w:i w:val="0"/>
          <w:caps w:val="0"/>
          <w:color w:val="333333"/>
          <w:spacing w:val="0"/>
          <w:kern w:val="0"/>
          <w:sz w:val="36"/>
          <w:szCs w:val="36"/>
          <w:shd w:val="clear" w:color="auto" w:fill="FFFFFF"/>
          <w:lang w:val="en-US" w:eastAsia="zh-CN" w:bidi="ar"/>
        </w:rPr>
        <w:t>市场需求调查预算报价单</w:t>
      </w:r>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5" w:beforeAutospacing="0" w:after="0" w:afterAutospacing="0" w:line="480" w:lineRule="atLeast"/>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18"/>
          <w:szCs w:val="18"/>
          <w:shd w:val="clear" w:color="auto" w:fill="FFFFFF"/>
        </w:rPr>
        <w:t> </w:t>
      </w:r>
    </w:p>
    <w:tbl>
      <w:tblPr>
        <w:tblStyle w:val="3"/>
        <w:tblW w:w="5465"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721"/>
        <w:gridCol w:w="1313"/>
        <w:gridCol w:w="1313"/>
        <w:gridCol w:w="4227"/>
        <w:gridCol w:w="20"/>
        <w:gridCol w:w="172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6" w:hRule="atLeast"/>
          <w:jc w:val="center"/>
        </w:trPr>
        <w:tc>
          <w:tcPr>
            <w:tcW w:w="387" w:type="pct"/>
            <w:tcBorders>
              <w:tl2br w:val="nil"/>
              <w:tr2bl w:val="nil"/>
            </w:tcBorders>
            <w:shd w:val="clear" w:color="auto" w:fill="BFBFBF"/>
            <w:noWrap w:val="0"/>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jc w:val="center"/>
              <w:textAlignment w:val="auto"/>
              <w:rPr>
                <w:rFonts w:hint="eastAsia" w:ascii="宋体" w:hAnsi="宋体" w:eastAsia="宋体" w:cs="宋体"/>
                <w:sz w:val="24"/>
                <w:szCs w:val="24"/>
              </w:rPr>
            </w:pPr>
            <w:r>
              <w:rPr>
                <w:rFonts w:ascii="仿宋_GB2312" w:hAnsi="宋体" w:eastAsia="仿宋_GB2312" w:cs="仿宋_GB2312"/>
                <w:b/>
                <w:kern w:val="0"/>
                <w:sz w:val="24"/>
                <w:szCs w:val="24"/>
                <w:lang w:val="en-US" w:eastAsia="zh-CN" w:bidi="ar"/>
              </w:rPr>
              <w:t>序号</w:t>
            </w:r>
          </w:p>
        </w:tc>
        <w:tc>
          <w:tcPr>
            <w:tcW w:w="705" w:type="pct"/>
            <w:tcBorders>
              <w:tl2br w:val="nil"/>
              <w:tr2bl w:val="nil"/>
            </w:tcBorders>
            <w:shd w:val="clear" w:color="auto" w:fill="BFBFBF"/>
            <w:noWrap w:val="0"/>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jc w:val="center"/>
              <w:textAlignment w:val="auto"/>
              <w:rPr>
                <w:rFonts w:hint="eastAsia" w:ascii="宋体" w:hAnsi="宋体" w:eastAsia="宋体" w:cs="宋体"/>
                <w:sz w:val="24"/>
                <w:szCs w:val="24"/>
                <w:lang w:eastAsia="zh-CN"/>
              </w:rPr>
            </w:pPr>
            <w:r>
              <w:rPr>
                <w:rFonts w:hint="eastAsia" w:ascii="仿宋_GB2312" w:hAnsi="宋体" w:eastAsia="仿宋_GB2312" w:cs="仿宋_GB2312"/>
                <w:b/>
                <w:kern w:val="0"/>
                <w:sz w:val="24"/>
                <w:szCs w:val="24"/>
                <w:lang w:val="en-US" w:eastAsia="zh-CN" w:bidi="ar"/>
              </w:rPr>
              <w:t>服务项目</w:t>
            </w:r>
          </w:p>
        </w:tc>
        <w:tc>
          <w:tcPr>
            <w:tcW w:w="705" w:type="pct"/>
            <w:tcBorders>
              <w:tl2br w:val="nil"/>
              <w:tr2bl w:val="nil"/>
            </w:tcBorders>
            <w:shd w:val="clear" w:color="auto" w:fill="BFBFBF"/>
            <w:noWrap w:val="0"/>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jc w:val="center"/>
              <w:textAlignment w:val="auto"/>
              <w:rPr>
                <w:rFonts w:hint="eastAsia" w:ascii="仿宋_GB2312" w:hAnsi="宋体" w:eastAsia="仿宋_GB2312" w:cs="仿宋_GB2312"/>
                <w:b/>
                <w:kern w:val="0"/>
                <w:sz w:val="24"/>
                <w:szCs w:val="24"/>
                <w:lang w:val="en-US" w:eastAsia="zh-CN" w:bidi="ar"/>
              </w:rPr>
            </w:pPr>
            <w:r>
              <w:rPr>
                <w:rFonts w:hint="eastAsia" w:ascii="仿宋_GB2312" w:hAnsi="宋体" w:eastAsia="仿宋_GB2312" w:cs="仿宋_GB2312"/>
                <w:b/>
                <w:kern w:val="0"/>
                <w:sz w:val="24"/>
                <w:szCs w:val="24"/>
                <w:lang w:val="en-US" w:eastAsia="zh-CN" w:bidi="ar"/>
              </w:rPr>
              <w:t>服务内容</w:t>
            </w:r>
          </w:p>
        </w:tc>
        <w:tc>
          <w:tcPr>
            <w:tcW w:w="2269" w:type="pct"/>
            <w:tcBorders>
              <w:tl2br w:val="nil"/>
              <w:tr2bl w:val="nil"/>
            </w:tcBorders>
            <w:shd w:val="clear" w:color="auto" w:fill="BFBFBF"/>
            <w:noWrap w:val="0"/>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jc w:val="center"/>
              <w:textAlignment w:val="auto"/>
              <w:rPr>
                <w:rFonts w:hint="eastAsia" w:ascii="宋体" w:hAnsi="宋体" w:eastAsia="宋体" w:cs="宋体"/>
                <w:sz w:val="24"/>
                <w:szCs w:val="24"/>
              </w:rPr>
            </w:pPr>
            <w:r>
              <w:rPr>
                <w:rFonts w:hint="eastAsia" w:ascii="仿宋_GB2312" w:hAnsi="宋体" w:eastAsia="仿宋_GB2312" w:cs="仿宋_GB2312"/>
                <w:b/>
                <w:kern w:val="0"/>
                <w:sz w:val="24"/>
                <w:szCs w:val="24"/>
                <w:lang w:val="en-US" w:eastAsia="zh-CN" w:bidi="ar"/>
              </w:rPr>
              <w:t>具体要求</w:t>
            </w:r>
          </w:p>
        </w:tc>
        <w:tc>
          <w:tcPr>
            <w:tcW w:w="931" w:type="pct"/>
            <w:gridSpan w:val="2"/>
            <w:tcBorders>
              <w:tl2br w:val="nil"/>
              <w:tr2bl w:val="nil"/>
            </w:tcBorders>
            <w:shd w:val="clear" w:color="auto" w:fill="BFBFBF"/>
            <w:noWrap w:val="0"/>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jc w:val="center"/>
              <w:textAlignment w:val="auto"/>
              <w:rPr>
                <w:rFonts w:hint="eastAsia" w:ascii="宋体" w:hAnsi="宋体" w:eastAsia="宋体" w:cs="宋体"/>
                <w:sz w:val="24"/>
                <w:szCs w:val="24"/>
                <w:lang w:eastAsia="zh-CN"/>
              </w:rPr>
            </w:pPr>
            <w:r>
              <w:rPr>
                <w:rFonts w:hint="eastAsia" w:ascii="仿宋_GB2312" w:hAnsi="宋体" w:eastAsia="仿宋_GB2312" w:cs="仿宋_GB2312"/>
                <w:b/>
                <w:kern w:val="0"/>
                <w:sz w:val="24"/>
                <w:szCs w:val="24"/>
                <w:lang w:val="en-US" w:eastAsia="zh-CN" w:bidi="ar"/>
              </w:rPr>
              <w:t>报价明细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769" w:hRule="atLeast"/>
          <w:jc w:val="center"/>
        </w:trPr>
        <w:tc>
          <w:tcPr>
            <w:tcW w:w="387" w:type="pct"/>
            <w:tcBorders>
              <w:tl2br w:val="nil"/>
              <w:tr2bl w:val="nil"/>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0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1</w:t>
            </w:r>
          </w:p>
        </w:tc>
        <w:tc>
          <w:tcPr>
            <w:tcW w:w="705" w:type="pct"/>
            <w:vMerge w:val="restart"/>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0" w:line="4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收集国内国际制度型开放前沿信息</w:t>
            </w:r>
          </w:p>
        </w:tc>
        <w:tc>
          <w:tcPr>
            <w:tcW w:w="705" w:type="pct"/>
            <w:tcBorders>
              <w:tl2br w:val="nil"/>
              <w:tr2bl w:val="nil"/>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00" w:lineRule="exact"/>
              <w:ind w:left="0" w:right="0"/>
              <w:jc w:val="left"/>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国际高标准经贸规则相关情况</w:t>
            </w:r>
          </w:p>
        </w:tc>
        <w:tc>
          <w:tcPr>
            <w:tcW w:w="2269" w:type="pct"/>
            <w:tcBorders>
              <w:tl2br w:val="nil"/>
              <w:tr2bl w:val="nil"/>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0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收集国际高标准经贸规则相关情况。跟踪收集《全面与进步跨太平洋伙伴关系协定》（CPTPP）、《数字经济伙伴关系协定》（DEPA）、欧盟《数字服务法》（DSA）等国际高标准经贸规则，以及我国参与重要多双边协定谈判有关进展情况，包括规则内容，政策解读，公开渠道发布的研究成果等。</w:t>
            </w:r>
          </w:p>
        </w:tc>
        <w:tc>
          <w:tcPr>
            <w:tcW w:w="931" w:type="pct"/>
            <w:gridSpan w:val="2"/>
            <w:tcBorders>
              <w:tl2br w:val="nil"/>
              <w:tr2bl w:val="nil"/>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jc w:val="center"/>
              <w:textAlignment w:val="auto"/>
              <w:rPr>
                <w:rFonts w:hint="eastAsia" w:ascii="仿宋_GB2312" w:hAnsi="宋体" w:eastAsia="仿宋_GB2312" w:cs="仿宋_GB2312"/>
                <w:color w:val="000000"/>
                <w:kern w:val="0"/>
                <w:sz w:val="24"/>
                <w:szCs w:val="2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jc w:val="center"/>
              <w:textAlignment w:val="auto"/>
              <w:rPr>
                <w:rFonts w:hint="eastAsia" w:ascii="宋体" w:hAnsi="宋体" w:eastAsia="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1" w:hRule="atLeast"/>
          <w:jc w:val="center"/>
        </w:trPr>
        <w:tc>
          <w:tcPr>
            <w:tcW w:w="387" w:type="pct"/>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0" w:line="4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705" w:type="pct"/>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0" w:line="400" w:lineRule="exact"/>
              <w:textAlignment w:val="auto"/>
              <w:rPr>
                <w:rFonts w:hint="eastAsia" w:ascii="仿宋_GB2312" w:hAnsi="仿宋_GB2312" w:eastAsia="仿宋_GB2312" w:cs="仿宋_GB2312"/>
                <w:sz w:val="24"/>
                <w:szCs w:val="24"/>
              </w:rPr>
            </w:pPr>
          </w:p>
        </w:tc>
        <w:tc>
          <w:tcPr>
            <w:tcW w:w="705" w:type="pct"/>
            <w:tcBorders>
              <w:tl2br w:val="nil"/>
              <w:tr2bl w:val="nil"/>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00" w:lineRule="exact"/>
              <w:ind w:left="0" w:right="0"/>
              <w:jc w:val="left"/>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国内制度型开放相关情况</w:t>
            </w:r>
          </w:p>
        </w:tc>
        <w:tc>
          <w:tcPr>
            <w:tcW w:w="2269" w:type="pct"/>
            <w:tcBorders>
              <w:tl2br w:val="nil"/>
              <w:tr2bl w:val="nil"/>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00" w:lineRule="exact"/>
              <w:ind w:left="0" w:right="0"/>
              <w:jc w:val="left"/>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国内制度型开放相关情况。跟踪收集国家和地方发布实施的，在贸易、投资、金融、航运、人才、数据跨境流动等领域扩大制度型开放的政策措施，以及在扩大知识产权保护、政府采购、生态环境保护等“边境后”规则方面扩大对外开放的制度安排、相关解读、研究成果等。</w:t>
            </w:r>
          </w:p>
        </w:tc>
        <w:tc>
          <w:tcPr>
            <w:tcW w:w="931" w:type="pct"/>
            <w:gridSpan w:val="2"/>
            <w:tcBorders>
              <w:tl2br w:val="nil"/>
              <w:tr2bl w:val="nil"/>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jc w:val="center"/>
              <w:textAlignment w:val="auto"/>
              <w:rPr>
                <w:rFonts w:hint="eastAsia" w:ascii="仿宋_GB2312" w:hAnsi="宋体" w:eastAsia="仿宋_GB2312" w:cs="仿宋_GB2312"/>
                <w:color w:val="000000"/>
                <w:kern w:val="0"/>
                <w:sz w:val="24"/>
                <w:szCs w:val="24"/>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1" w:hRule="atLeast"/>
          <w:jc w:val="center"/>
        </w:trPr>
        <w:tc>
          <w:tcPr>
            <w:tcW w:w="387" w:type="pct"/>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0" w:line="40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705" w:type="pct"/>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0" w:line="400" w:lineRule="exact"/>
              <w:textAlignment w:val="auto"/>
              <w:rPr>
                <w:rFonts w:hint="eastAsia" w:ascii="仿宋_GB2312" w:hAnsi="仿宋_GB2312" w:eastAsia="仿宋_GB2312" w:cs="仿宋_GB2312"/>
                <w:sz w:val="24"/>
                <w:szCs w:val="24"/>
              </w:rPr>
            </w:pPr>
          </w:p>
        </w:tc>
        <w:tc>
          <w:tcPr>
            <w:tcW w:w="705" w:type="pct"/>
            <w:tcBorders>
              <w:tl2br w:val="nil"/>
              <w:tr2bl w:val="nil"/>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00" w:lineRule="exact"/>
              <w:ind w:left="0" w:right="0"/>
              <w:jc w:val="left"/>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典型经验做法</w:t>
            </w:r>
          </w:p>
        </w:tc>
        <w:tc>
          <w:tcPr>
            <w:tcW w:w="2269" w:type="pct"/>
            <w:tcBorders>
              <w:tl2br w:val="nil"/>
              <w:tr2bl w:val="nil"/>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00" w:lineRule="exact"/>
              <w:ind w:left="0" w:right="0"/>
              <w:jc w:val="left"/>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兄弟自贸试验区推进制度型开放，实施自贸试验区提升战略的典型经验做法。</w:t>
            </w:r>
          </w:p>
        </w:tc>
        <w:tc>
          <w:tcPr>
            <w:tcW w:w="931" w:type="pct"/>
            <w:gridSpan w:val="2"/>
            <w:tcBorders>
              <w:tl2br w:val="nil"/>
              <w:tr2bl w:val="nil"/>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jc w:val="center"/>
              <w:textAlignment w:val="auto"/>
              <w:rPr>
                <w:rFonts w:hint="eastAsia" w:ascii="仿宋_GB2312" w:hAnsi="宋体" w:eastAsia="仿宋_GB2312" w:cs="仿宋_GB2312"/>
                <w:color w:val="000000"/>
                <w:kern w:val="0"/>
                <w:sz w:val="24"/>
                <w:szCs w:val="24"/>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1" w:hRule="atLeast"/>
          <w:jc w:val="center"/>
        </w:trPr>
        <w:tc>
          <w:tcPr>
            <w:tcW w:w="387" w:type="pct"/>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0" w:line="40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705" w:type="pct"/>
            <w:vMerge w:val="continue"/>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0" w:line="400" w:lineRule="exact"/>
              <w:textAlignment w:val="auto"/>
              <w:rPr>
                <w:rFonts w:hint="eastAsia" w:ascii="仿宋_GB2312" w:hAnsi="仿宋_GB2312" w:eastAsia="仿宋_GB2312" w:cs="仿宋_GB2312"/>
                <w:sz w:val="24"/>
                <w:szCs w:val="24"/>
              </w:rPr>
            </w:pPr>
          </w:p>
        </w:tc>
        <w:tc>
          <w:tcPr>
            <w:tcW w:w="705" w:type="pct"/>
            <w:tcBorders>
              <w:tl2br w:val="nil"/>
              <w:tr2bl w:val="nil"/>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00" w:lineRule="exact"/>
              <w:ind w:left="0" w:right="0"/>
              <w:jc w:val="left"/>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权威专家学者研究动态和成果。</w:t>
            </w:r>
          </w:p>
        </w:tc>
        <w:tc>
          <w:tcPr>
            <w:tcW w:w="2269" w:type="pct"/>
            <w:tcBorders>
              <w:tl2br w:val="nil"/>
              <w:tr2bl w:val="nil"/>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00" w:lineRule="exact"/>
              <w:ind w:left="0" w:right="0"/>
              <w:jc w:val="left"/>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lang w:bidi="ar"/>
              </w:rPr>
              <w:t>跟踪收集重要研究机构、智库、高等院校和知名专家学者在对接国际高标准、推进制度型开放方面的研究动态，包括相关论文、期刊、文献、论坛发言等。</w:t>
            </w:r>
          </w:p>
        </w:tc>
        <w:tc>
          <w:tcPr>
            <w:tcW w:w="931" w:type="pct"/>
            <w:gridSpan w:val="2"/>
            <w:tcBorders>
              <w:tl2br w:val="nil"/>
              <w:tr2bl w:val="nil"/>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jc w:val="center"/>
              <w:textAlignment w:val="auto"/>
              <w:rPr>
                <w:rFonts w:hint="eastAsia" w:ascii="仿宋_GB2312" w:hAnsi="宋体" w:eastAsia="仿宋_GB2312" w:cs="仿宋_GB2312"/>
                <w:color w:val="000000"/>
                <w:kern w:val="0"/>
                <w:sz w:val="24"/>
                <w:szCs w:val="24"/>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1" w:hRule="atLeast"/>
          <w:jc w:val="center"/>
        </w:trPr>
        <w:tc>
          <w:tcPr>
            <w:tcW w:w="387" w:type="pct"/>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0" w:line="40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705" w:type="pct"/>
            <w:vMerge w:val="restart"/>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0" w:line="4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val="0"/>
                <w:bCs w:val="0"/>
                <w:sz w:val="24"/>
                <w:szCs w:val="24"/>
                <w:lang w:eastAsia="zh-CN"/>
              </w:rPr>
              <w:t>跟踪收集相关政策落地实施情况</w:t>
            </w:r>
          </w:p>
        </w:tc>
        <w:tc>
          <w:tcPr>
            <w:tcW w:w="705" w:type="pct"/>
            <w:tcBorders>
              <w:tl2br w:val="nil"/>
              <w:tr2bl w:val="nil"/>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00" w:lineRule="exact"/>
              <w:ind w:left="0" w:right="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政策落地实施情况。</w:t>
            </w:r>
          </w:p>
        </w:tc>
        <w:tc>
          <w:tcPr>
            <w:tcW w:w="2269" w:type="pct"/>
            <w:tcBorders>
              <w:tl2br w:val="nil"/>
              <w:tr2bl w:val="nil"/>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00" w:lineRule="exact"/>
              <w:ind w:left="0" w:right="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配合定期收集梳理公开发布的福建自贸试验区可实施的制度型开放政策落地实施情况。</w:t>
            </w:r>
          </w:p>
        </w:tc>
        <w:tc>
          <w:tcPr>
            <w:tcW w:w="931" w:type="pct"/>
            <w:gridSpan w:val="2"/>
            <w:tcBorders>
              <w:tl2br w:val="nil"/>
              <w:tr2bl w:val="nil"/>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jc w:val="center"/>
              <w:textAlignment w:val="auto"/>
              <w:rPr>
                <w:rFonts w:hint="eastAsia" w:ascii="仿宋_GB2312" w:hAnsi="宋体" w:eastAsia="仿宋_GB2312" w:cs="仿宋_GB2312"/>
                <w:color w:val="000000"/>
                <w:kern w:val="0"/>
                <w:sz w:val="24"/>
                <w:szCs w:val="24"/>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1" w:hRule="atLeast"/>
          <w:jc w:val="center"/>
        </w:trPr>
        <w:tc>
          <w:tcPr>
            <w:tcW w:w="387" w:type="pct"/>
            <w:tcBorders>
              <w:bottom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0" w:line="400" w:lineRule="exact"/>
              <w:jc w:val="center"/>
              <w:textAlignment w:val="auto"/>
              <w:rPr>
                <w:rFonts w:hint="default" w:ascii="仿宋_GB2312" w:hAnsi="仿宋_GB2312" w:eastAsia="仿宋_GB2312" w:cs="仿宋_GB2312"/>
                <w:sz w:val="24"/>
                <w:szCs w:val="24"/>
                <w:lang w:val="en" w:eastAsia="zh-CN"/>
              </w:rPr>
            </w:pPr>
            <w:r>
              <w:rPr>
                <w:rFonts w:hint="eastAsia" w:ascii="仿宋_GB2312" w:hAnsi="仿宋_GB2312" w:eastAsia="仿宋_GB2312" w:cs="仿宋_GB2312"/>
                <w:sz w:val="24"/>
                <w:szCs w:val="24"/>
                <w:lang w:val="en-US" w:eastAsia="zh-CN"/>
              </w:rPr>
              <w:t>6</w:t>
            </w:r>
          </w:p>
        </w:tc>
        <w:tc>
          <w:tcPr>
            <w:tcW w:w="705" w:type="pct"/>
            <w:vMerge w:val="continue"/>
            <w:tcBorders>
              <w:bottom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0" w:line="400" w:lineRule="exact"/>
              <w:textAlignment w:val="auto"/>
              <w:rPr>
                <w:rFonts w:hint="eastAsia" w:ascii="仿宋_GB2312" w:hAnsi="仿宋_GB2312" w:eastAsia="仿宋_GB2312" w:cs="仿宋_GB2312"/>
                <w:b w:val="0"/>
                <w:bCs w:val="0"/>
                <w:sz w:val="24"/>
                <w:szCs w:val="24"/>
                <w:lang w:eastAsia="zh-CN"/>
              </w:rPr>
            </w:pPr>
          </w:p>
        </w:tc>
        <w:tc>
          <w:tcPr>
            <w:tcW w:w="705" w:type="pct"/>
            <w:tcBorders>
              <w:tl2br w:val="nil"/>
              <w:tr2bl w:val="nil"/>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00" w:lineRule="exact"/>
              <w:ind w:left="0" w:right="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制度创新成果落地实施情况。</w:t>
            </w:r>
          </w:p>
        </w:tc>
        <w:tc>
          <w:tcPr>
            <w:tcW w:w="2269" w:type="pct"/>
            <w:tcBorders>
              <w:tl2br w:val="nil"/>
              <w:tr2bl w:val="nil"/>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00" w:lineRule="exact"/>
              <w:ind w:left="0" w:right="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配合定期收集梳理公开发布的福建自贸试验区现有制度创新成果落地实施情况。</w:t>
            </w:r>
          </w:p>
        </w:tc>
        <w:tc>
          <w:tcPr>
            <w:tcW w:w="931" w:type="pct"/>
            <w:gridSpan w:val="2"/>
            <w:tcBorders>
              <w:tl2br w:val="nil"/>
              <w:tr2bl w:val="nil"/>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jc w:val="center"/>
              <w:textAlignment w:val="auto"/>
              <w:rPr>
                <w:rFonts w:hint="eastAsia" w:ascii="仿宋_GB2312" w:hAnsi="宋体" w:eastAsia="仿宋_GB2312" w:cs="仿宋_GB2312"/>
                <w:color w:val="000000"/>
                <w:kern w:val="0"/>
                <w:sz w:val="24"/>
                <w:szCs w:val="24"/>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1" w:hRule="atLeast"/>
          <w:jc w:val="center"/>
        </w:trPr>
        <w:tc>
          <w:tcPr>
            <w:tcW w:w="387" w:type="pct"/>
            <w:tcBorders>
              <w:top w:val="single" w:color="auto" w:sz="4" w:space="0"/>
              <w:bottom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0" w:line="400" w:lineRule="exact"/>
              <w:jc w:val="center"/>
              <w:textAlignment w:val="auto"/>
              <w:rPr>
                <w:rFonts w:hint="default" w:ascii="仿宋_GB2312" w:hAnsi="仿宋_GB2312" w:eastAsia="仿宋_GB2312" w:cs="仿宋_GB2312"/>
                <w:sz w:val="24"/>
                <w:szCs w:val="24"/>
                <w:lang w:val="en" w:eastAsia="zh-CN"/>
              </w:rPr>
            </w:pPr>
            <w:r>
              <w:rPr>
                <w:rFonts w:hint="eastAsia" w:ascii="仿宋_GB2312" w:hAnsi="仿宋_GB2312" w:eastAsia="仿宋_GB2312" w:cs="仿宋_GB2312"/>
                <w:sz w:val="24"/>
                <w:szCs w:val="24"/>
                <w:lang w:val="en-US" w:eastAsia="zh-CN"/>
              </w:rPr>
              <w:t>7</w:t>
            </w:r>
          </w:p>
        </w:tc>
        <w:tc>
          <w:tcPr>
            <w:tcW w:w="705" w:type="pct"/>
            <w:tcBorders>
              <w:top w:val="single" w:color="auto" w:sz="4" w:space="0"/>
              <w:bottom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0" w:line="4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收集梳理政策需求</w:t>
            </w:r>
          </w:p>
        </w:tc>
        <w:tc>
          <w:tcPr>
            <w:tcW w:w="705" w:type="pct"/>
            <w:tcBorders>
              <w:tl2br w:val="nil"/>
              <w:tr2bl w:val="nil"/>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00" w:lineRule="exact"/>
              <w:ind w:left="0" w:right="0"/>
              <w:jc w:val="left"/>
              <w:textAlignment w:val="auto"/>
              <w:rPr>
                <w:rFonts w:hint="eastAsia" w:ascii="仿宋_GB2312" w:hAnsi="仿宋_GB2312" w:eastAsia="仿宋_GB2312" w:cs="仿宋_GB2312"/>
                <w:sz w:val="24"/>
                <w:szCs w:val="24"/>
                <w:lang w:eastAsia="zh-CN"/>
              </w:rPr>
            </w:pPr>
          </w:p>
        </w:tc>
        <w:tc>
          <w:tcPr>
            <w:tcW w:w="2269" w:type="pct"/>
            <w:tcBorders>
              <w:tl2br w:val="nil"/>
              <w:tr2bl w:val="nil"/>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00" w:lineRule="exact"/>
              <w:ind w:left="0" w:right="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rPr>
              <w:t>配合定期收集梳理福建自贸试验区各类市场主体发展、相关职能部门及单位自贸工作中遇到的难点堵点，以及进一步加强制度创新、提升市场开放水平、完善营商环境等方面的政策需求和意见建议。</w:t>
            </w:r>
          </w:p>
        </w:tc>
        <w:tc>
          <w:tcPr>
            <w:tcW w:w="931" w:type="pct"/>
            <w:gridSpan w:val="2"/>
            <w:tcBorders>
              <w:tl2br w:val="nil"/>
              <w:tr2bl w:val="nil"/>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jc w:val="center"/>
              <w:textAlignment w:val="auto"/>
              <w:rPr>
                <w:rFonts w:hint="eastAsia" w:ascii="仿宋_GB2312" w:hAnsi="宋体" w:eastAsia="仿宋_GB2312" w:cs="仿宋_GB2312"/>
                <w:color w:val="000000"/>
                <w:kern w:val="0"/>
                <w:sz w:val="24"/>
                <w:szCs w:val="24"/>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1" w:hRule="atLeast"/>
          <w:jc w:val="center"/>
        </w:trPr>
        <w:tc>
          <w:tcPr>
            <w:tcW w:w="387" w:type="pct"/>
            <w:tcBorders>
              <w:top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0" w:line="400" w:lineRule="exact"/>
              <w:jc w:val="center"/>
              <w:textAlignment w:val="auto"/>
              <w:rPr>
                <w:rFonts w:hint="default" w:ascii="仿宋_GB2312" w:hAnsi="仿宋_GB2312" w:eastAsia="仿宋_GB2312" w:cs="仿宋_GB2312"/>
                <w:kern w:val="2"/>
                <w:sz w:val="24"/>
                <w:szCs w:val="24"/>
                <w:lang w:val="en" w:eastAsia="zh-CN" w:bidi="ar-SA"/>
              </w:rPr>
            </w:pPr>
            <w:r>
              <w:rPr>
                <w:rFonts w:hint="eastAsia" w:ascii="仿宋_GB2312" w:hAnsi="仿宋_GB2312" w:eastAsia="仿宋_GB2312" w:cs="仿宋_GB2312"/>
                <w:sz w:val="24"/>
                <w:szCs w:val="24"/>
                <w:lang w:val="en-US" w:eastAsia="zh-CN"/>
              </w:rPr>
              <w:t>8</w:t>
            </w:r>
          </w:p>
        </w:tc>
        <w:tc>
          <w:tcPr>
            <w:tcW w:w="705" w:type="pct"/>
            <w:tcBorders>
              <w:top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0" w:line="400" w:lineRule="exac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开展相关信息整理</w:t>
            </w:r>
          </w:p>
        </w:tc>
        <w:tc>
          <w:tcPr>
            <w:tcW w:w="705" w:type="pct"/>
            <w:tcBorders>
              <w:tl2br w:val="nil"/>
              <w:tr2bl w:val="nil"/>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00" w:lineRule="exact"/>
              <w:ind w:left="0" w:leftChars="0" w:right="0" w:rightChars="0"/>
              <w:jc w:val="left"/>
              <w:textAlignment w:val="auto"/>
              <w:rPr>
                <w:rFonts w:hint="eastAsia" w:ascii="仿宋_GB2312" w:hAnsi="仿宋_GB2312" w:eastAsia="仿宋_GB2312" w:cs="仿宋_GB2312"/>
                <w:kern w:val="2"/>
                <w:sz w:val="24"/>
                <w:szCs w:val="24"/>
                <w:lang w:val="en-US" w:eastAsia="zh-CN" w:bidi="ar-SA"/>
              </w:rPr>
            </w:pPr>
          </w:p>
        </w:tc>
        <w:tc>
          <w:tcPr>
            <w:tcW w:w="2269" w:type="pct"/>
            <w:tcBorders>
              <w:right w:val="single" w:color="auto" w:sz="4" w:space="0"/>
              <w:tl2br w:val="nil"/>
              <w:tr2bl w:val="nil"/>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00" w:lineRule="exact"/>
              <w:ind w:left="0" w:leftChars="0" w:right="0" w:rightChars="0"/>
              <w:jc w:val="left"/>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lang w:bidi="ar"/>
              </w:rPr>
              <w:t>根据处室工作安排，协助整理上述信息，形成分类清晰、来源可溯、方便关联调阅和交叉比对的基础研究资料库，包括电子文档和纸质文档（要求精通WPS功能使用）。</w:t>
            </w:r>
          </w:p>
        </w:tc>
        <w:tc>
          <w:tcPr>
            <w:tcW w:w="931" w:type="pct"/>
            <w:gridSpan w:val="2"/>
            <w:tcBorders>
              <w:left w:val="single" w:color="auto" w:sz="4" w:space="0"/>
              <w:tl2br w:val="nil"/>
              <w:tr2bl w:val="nil"/>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jc w:val="center"/>
              <w:textAlignment w:val="auto"/>
              <w:rPr>
                <w:rFonts w:hint="eastAsia" w:ascii="仿宋_GB2312" w:hAnsi="宋体" w:eastAsia="仿宋_GB2312" w:cs="仿宋_GB2312"/>
                <w:color w:val="000000"/>
                <w:kern w:val="0"/>
                <w:sz w:val="24"/>
                <w:szCs w:val="24"/>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1" w:hRule="atLeast"/>
          <w:jc w:val="center"/>
        </w:trPr>
        <w:tc>
          <w:tcPr>
            <w:tcW w:w="387" w:type="pct"/>
            <w:tcBorders>
              <w:top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0" w:line="400" w:lineRule="exact"/>
              <w:jc w:val="center"/>
              <w:textAlignment w:val="auto"/>
              <w:rPr>
                <w:rFonts w:hint="default" w:ascii="仿宋_GB2312" w:hAnsi="仿宋_GB2312" w:eastAsia="仿宋_GB2312" w:cs="仿宋_GB2312"/>
                <w:sz w:val="24"/>
                <w:szCs w:val="24"/>
                <w:lang w:val="en" w:eastAsia="zh-CN"/>
              </w:rPr>
            </w:pPr>
            <w:r>
              <w:rPr>
                <w:rFonts w:hint="eastAsia" w:ascii="仿宋_GB2312" w:hAnsi="仿宋_GB2312" w:eastAsia="仿宋_GB2312" w:cs="仿宋_GB2312"/>
                <w:sz w:val="24"/>
                <w:szCs w:val="24"/>
                <w:lang w:val="en-US" w:eastAsia="zh-CN"/>
              </w:rPr>
              <w:t>9</w:t>
            </w:r>
          </w:p>
        </w:tc>
        <w:tc>
          <w:tcPr>
            <w:tcW w:w="705" w:type="pct"/>
            <w:tcBorders>
              <w:top w:val="single" w:color="auto" w:sz="4" w:space="0"/>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before="0" w:line="40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其他</w:t>
            </w:r>
          </w:p>
        </w:tc>
        <w:tc>
          <w:tcPr>
            <w:tcW w:w="705" w:type="pct"/>
            <w:tcBorders>
              <w:tl2br w:val="nil"/>
              <w:tr2bl w:val="nil"/>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00" w:lineRule="exact"/>
              <w:ind w:left="0" w:right="0"/>
              <w:jc w:val="left"/>
              <w:textAlignment w:val="auto"/>
              <w:rPr>
                <w:rFonts w:hint="eastAsia" w:ascii="仿宋_GB2312" w:hAnsi="仿宋_GB2312" w:eastAsia="仿宋_GB2312" w:cs="仿宋_GB2312"/>
                <w:sz w:val="24"/>
                <w:szCs w:val="24"/>
                <w:lang w:eastAsia="zh-CN"/>
              </w:rPr>
            </w:pPr>
          </w:p>
        </w:tc>
        <w:tc>
          <w:tcPr>
            <w:tcW w:w="2269" w:type="pct"/>
            <w:tcBorders>
              <w:right w:val="single" w:color="auto" w:sz="4" w:space="0"/>
              <w:tl2br w:val="nil"/>
              <w:tr2bl w:val="nil"/>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00" w:lineRule="exact"/>
              <w:ind w:left="0" w:right="0"/>
              <w:jc w:val="left"/>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其他需要收集整理的涉及制度型开放及自贸提升相关信息资料。</w:t>
            </w:r>
          </w:p>
        </w:tc>
        <w:tc>
          <w:tcPr>
            <w:tcW w:w="931" w:type="pct"/>
            <w:gridSpan w:val="2"/>
            <w:tcBorders>
              <w:left w:val="single" w:color="auto" w:sz="4" w:space="0"/>
              <w:tl2br w:val="nil"/>
              <w:tr2bl w:val="nil"/>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jc w:val="center"/>
              <w:textAlignment w:val="auto"/>
              <w:rPr>
                <w:rFonts w:hint="eastAsia" w:ascii="仿宋_GB2312" w:hAnsi="宋体" w:eastAsia="仿宋_GB2312" w:cs="仿宋_GB2312"/>
                <w:color w:val="000000"/>
                <w:kern w:val="0"/>
                <w:sz w:val="24"/>
                <w:szCs w:val="24"/>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52" w:hRule="atLeast"/>
          <w:jc w:val="center"/>
        </w:trPr>
        <w:tc>
          <w:tcPr>
            <w:tcW w:w="4077" w:type="pct"/>
            <w:gridSpan w:val="5"/>
            <w:tcBorders>
              <w:right w:val="single" w:color="auto" w:sz="4" w:space="0"/>
              <w:tl2br w:val="nil"/>
              <w:tr2bl w:val="nil"/>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00" w:lineRule="exact"/>
              <w:ind w:left="0" w:right="0" w:firstLine="6505" w:firstLineChars="2700"/>
              <w:jc w:val="left"/>
              <w:textAlignment w:val="auto"/>
              <w:rPr>
                <w:rFonts w:hint="eastAsia" w:ascii="仿宋_GB2312" w:hAnsi="宋体" w:eastAsia="仿宋_GB2312" w:cs="仿宋_GB2312"/>
                <w:b/>
                <w:bCs/>
                <w:color w:val="000000"/>
                <w:kern w:val="0"/>
                <w:sz w:val="24"/>
                <w:szCs w:val="24"/>
                <w:lang w:val="en-US" w:eastAsia="zh-CN" w:bidi="ar"/>
              </w:rPr>
            </w:pPr>
            <w:r>
              <w:rPr>
                <w:rFonts w:hint="eastAsia" w:ascii="仿宋_GB2312" w:hAnsi="宋体" w:eastAsia="仿宋_GB2312" w:cs="仿宋_GB2312"/>
                <w:b/>
                <w:bCs/>
                <w:color w:val="000000"/>
                <w:kern w:val="0"/>
                <w:sz w:val="24"/>
                <w:szCs w:val="24"/>
                <w:lang w:val="en-US" w:eastAsia="zh-CN" w:bidi="ar"/>
              </w:rPr>
              <w:t>总报价：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00" w:lineRule="exact"/>
              <w:ind w:right="0" w:firstLine="4337" w:firstLineChars="1800"/>
              <w:jc w:val="left"/>
              <w:textAlignment w:val="auto"/>
              <w:rPr>
                <w:rFonts w:hint="eastAsia" w:ascii="仿宋_GB2312" w:hAnsi="宋体" w:eastAsia="仿宋_GB2312" w:cs="仿宋_GB2312"/>
                <w:b/>
                <w:bCs/>
                <w:color w:val="000000"/>
                <w:kern w:val="0"/>
                <w:sz w:val="24"/>
                <w:szCs w:val="24"/>
                <w:lang w:val="en-US" w:eastAsia="zh-CN" w:bidi="ar"/>
              </w:rPr>
            </w:pPr>
            <w:r>
              <w:rPr>
                <w:rFonts w:hint="eastAsia" w:ascii="仿宋_GB2312" w:hAnsi="宋体" w:eastAsia="仿宋_GB2312" w:cs="仿宋_GB2312"/>
                <w:b/>
                <w:bCs/>
                <w:color w:val="000000"/>
                <w:kern w:val="0"/>
                <w:sz w:val="24"/>
                <w:szCs w:val="24"/>
                <w:lang w:val="en-US" w:eastAsia="zh-CN" w:bidi="ar"/>
              </w:rPr>
              <w:t>（最高报价不超过20万元）</w:t>
            </w:r>
          </w:p>
        </w:tc>
        <w:tc>
          <w:tcPr>
            <w:tcW w:w="922" w:type="pct"/>
            <w:tcBorders>
              <w:left w:val="single" w:color="auto" w:sz="4" w:space="0"/>
              <w:tl2br w:val="nil"/>
              <w:tr2bl w:val="nil"/>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00" w:lineRule="exact"/>
              <w:ind w:left="0" w:right="0" w:firstLine="960" w:firstLineChars="400"/>
              <w:jc w:val="left"/>
              <w:textAlignment w:val="auto"/>
              <w:rPr>
                <w:rFonts w:hint="eastAsia" w:ascii="仿宋_GB2312" w:hAnsi="宋体" w:eastAsia="仿宋_GB2312" w:cs="仿宋_GB2312"/>
                <w:color w:val="000000"/>
                <w:kern w:val="0"/>
                <w:sz w:val="24"/>
                <w:szCs w:val="24"/>
                <w:lang w:val="en-US" w:eastAsia="zh-CN" w:bidi="ar"/>
              </w:rPr>
            </w:pPr>
            <w:r>
              <w:rPr>
                <w:rFonts w:hint="eastAsia" w:ascii="仿宋_GB2312" w:hAnsi="宋体" w:eastAsia="仿宋_GB2312" w:cs="仿宋_GB2312"/>
                <w:color w:val="000000"/>
                <w:kern w:val="0"/>
                <w:sz w:val="24"/>
                <w:szCs w:val="24"/>
                <w:lang w:val="en-US" w:eastAsia="zh-CN" w:bidi="ar"/>
              </w:rPr>
              <w:t>万元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020" w:hRule="atLeast"/>
          <w:jc w:val="center"/>
        </w:trPr>
        <w:tc>
          <w:tcPr>
            <w:tcW w:w="5000" w:type="pct"/>
            <w:gridSpan w:val="6"/>
            <w:tcBorders>
              <w:tl2br w:val="nil"/>
              <w:tr2bl w:val="nil"/>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auto"/>
              <w:ind w:left="0" w:right="0" w:firstLine="5040" w:firstLineChars="2100"/>
              <w:jc w:val="left"/>
              <w:textAlignment w:val="auto"/>
              <w:rPr>
                <w:rFonts w:hint="eastAsia" w:ascii="仿宋_GB2312" w:hAnsi="宋体" w:eastAsia="仿宋_GB2312" w:cs="仿宋_GB2312"/>
                <w:color w:val="000000"/>
                <w:kern w:val="0"/>
                <w:sz w:val="24"/>
                <w:szCs w:val="24"/>
                <w:lang w:val="en-US" w:eastAsia="zh-CN" w:bidi="ar"/>
              </w:rPr>
            </w:pPr>
            <w:r>
              <w:rPr>
                <w:rFonts w:hint="eastAsia" w:ascii="仿宋_GB2312" w:hAnsi="宋体" w:eastAsia="仿宋_GB2312" w:cs="仿宋_GB2312"/>
                <w:color w:val="000000"/>
                <w:kern w:val="0"/>
                <w:sz w:val="24"/>
                <w:szCs w:val="24"/>
                <w:lang w:val="en-US" w:eastAsia="zh-CN" w:bidi="ar"/>
              </w:rPr>
              <w:t>报价单位(全称并盖章)：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auto"/>
              <w:ind w:left="0" w:right="0" w:firstLine="5280" w:firstLineChars="2200"/>
              <w:jc w:val="left"/>
              <w:textAlignment w:val="auto"/>
              <w:rPr>
                <w:rFonts w:hint="eastAsia" w:ascii="宋体" w:hAnsi="宋体" w:eastAsia="宋体" w:cs="宋体"/>
                <w:sz w:val="24"/>
                <w:szCs w:val="24"/>
              </w:rPr>
            </w:pPr>
            <w:r>
              <w:rPr>
                <w:rFonts w:hint="eastAsia" w:ascii="仿宋_GB2312" w:hAnsi="宋体" w:eastAsia="仿宋_GB2312" w:cs="仿宋_GB2312"/>
                <w:color w:val="000000"/>
                <w:kern w:val="0"/>
                <w:sz w:val="24"/>
                <w:szCs w:val="24"/>
                <w:lang w:val="en-US" w:eastAsia="zh-CN" w:bidi="ar"/>
              </w:rPr>
              <w:t>法人或授权人签字：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auto"/>
              <w:ind w:left="0" w:right="0" w:firstLine="5040" w:firstLineChars="2100"/>
              <w:jc w:val="left"/>
              <w:textAlignment w:val="auto"/>
              <w:rPr>
                <w:rFonts w:hint="eastAsia" w:ascii="仿宋_GB2312" w:hAnsi="宋体" w:eastAsia="仿宋_GB2312" w:cs="仿宋_GB2312"/>
                <w:color w:val="000000"/>
                <w:kern w:val="0"/>
                <w:sz w:val="24"/>
                <w:szCs w:val="24"/>
                <w:lang w:val="en-US" w:eastAsia="zh-CN" w:bidi="ar"/>
              </w:rPr>
            </w:pPr>
            <w:r>
              <w:rPr>
                <w:rFonts w:hint="eastAsia" w:ascii="仿宋_GB2312" w:hAnsi="宋体" w:eastAsia="仿宋_GB2312" w:cs="仿宋_GB2312"/>
                <w:color w:val="000000"/>
                <w:kern w:val="0"/>
                <w:sz w:val="24"/>
                <w:szCs w:val="24"/>
                <w:lang w:val="en-US" w:eastAsia="zh-CN" w:bidi="ar"/>
              </w:rPr>
              <w:t>202</w:t>
            </w:r>
            <w:r>
              <w:rPr>
                <w:rFonts w:hint="default" w:ascii="仿宋_GB2312" w:hAnsi="宋体" w:eastAsia="仿宋_GB2312" w:cs="仿宋_GB2312"/>
                <w:color w:val="000000"/>
                <w:kern w:val="0"/>
                <w:sz w:val="24"/>
                <w:szCs w:val="24"/>
                <w:lang w:val="en" w:eastAsia="zh-CN" w:bidi="ar"/>
              </w:rPr>
              <w:t>5</w:t>
            </w:r>
            <w:r>
              <w:rPr>
                <w:rFonts w:hint="eastAsia" w:ascii="仿宋_GB2312" w:hAnsi="宋体" w:eastAsia="仿宋_GB2312" w:cs="仿宋_GB2312"/>
                <w:color w:val="000000"/>
                <w:kern w:val="0"/>
                <w:sz w:val="24"/>
                <w:szCs w:val="24"/>
                <w:lang w:val="en-US" w:eastAsia="zh-CN" w:bidi="ar"/>
              </w:rPr>
              <w:t>年</w:t>
            </w:r>
            <w:r>
              <w:rPr>
                <w:rFonts w:hint="default" w:ascii="仿宋_GB2312" w:hAnsi="宋体" w:eastAsia="仿宋_GB2312" w:cs="仿宋_GB2312"/>
                <w:color w:val="000000"/>
                <w:kern w:val="0"/>
                <w:sz w:val="24"/>
                <w:szCs w:val="24"/>
                <w:lang w:val="en" w:eastAsia="zh-CN" w:bidi="ar"/>
              </w:rPr>
              <w:t xml:space="preserve"> 3 </w:t>
            </w:r>
            <w:r>
              <w:rPr>
                <w:rFonts w:hint="eastAsia" w:ascii="仿宋_GB2312" w:hAnsi="宋体" w:eastAsia="仿宋_GB2312" w:cs="仿宋_GB2312"/>
                <w:color w:val="000000"/>
                <w:kern w:val="0"/>
                <w:sz w:val="24"/>
                <w:szCs w:val="24"/>
                <w:lang w:val="en-US" w:eastAsia="zh-CN" w:bidi="ar"/>
              </w:rPr>
              <w:t>月    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00" w:lineRule="exact"/>
              <w:ind w:left="0" w:right="0"/>
              <w:jc w:val="left"/>
              <w:textAlignment w:val="auto"/>
              <w:rPr>
                <w:rFonts w:hint="eastAsia" w:ascii="仿宋_GB2312" w:hAnsi="宋体" w:eastAsia="仿宋_GB2312" w:cs="仿宋_GB2312"/>
                <w:color w:val="000000"/>
                <w:kern w:val="0"/>
                <w:sz w:val="24"/>
                <w:szCs w:val="2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00" w:lineRule="exact"/>
              <w:ind w:left="0" w:right="0"/>
              <w:jc w:val="left"/>
              <w:textAlignment w:val="auto"/>
              <w:rPr>
                <w:rFonts w:hint="eastAsia" w:ascii="宋体" w:hAnsi="宋体" w:eastAsia="宋体" w:cs="宋体"/>
                <w:sz w:val="24"/>
                <w:szCs w:val="24"/>
              </w:rPr>
            </w:pPr>
            <w:r>
              <w:rPr>
                <w:rFonts w:hint="eastAsia" w:ascii="仿宋_GB2312" w:hAnsi="宋体" w:eastAsia="仿宋_GB2312" w:cs="仿宋_GB2312"/>
                <w:color w:val="000000"/>
                <w:kern w:val="0"/>
                <w:sz w:val="24"/>
                <w:szCs w:val="24"/>
                <w:lang w:val="en-US" w:eastAsia="zh-CN" w:bidi="ar"/>
              </w:rPr>
              <w:t>（联系人：               联系电话：）</w:t>
            </w:r>
          </w:p>
        </w:tc>
      </w:tr>
    </w:tbl>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p>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955435"/>
    <w:rsid w:val="309554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2025-03-07T09:08:00Z</dcterms:created>
  <dc:creator>张津</dc:creator>
  <cp:lastModifiedBy>张津</cp:lastModifiedBy>
  <dcterms:modified xsi:type="dcterms:W3CDTF">2025-03-07T09:08:59Z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