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adjustRightInd w:val="0"/>
        <w:textAlignment w:val="baseline"/>
        <w:rPr>
          <w:rFonts w:hint="eastAsia" w:ascii="仿宋_GB2312" w:hAnsi="仿宋_GB2312" w:eastAsia="仿宋_GB2312" w:cs="仿宋_GB2312"/>
          <w:b w:val="0"/>
          <w:bCs w:val="0"/>
          <w:kern w:val="0"/>
          <w:sz w:val="32"/>
          <w:szCs w:val="32"/>
          <w:shd w:val="clear" w:color="auto" w:fill="FFFFFF"/>
          <w:lang w:bidi="ar"/>
        </w:rPr>
      </w:pPr>
      <w:bookmarkStart w:id="0" w:name="OLE_LINK10"/>
      <w:r>
        <w:rPr>
          <w:rFonts w:hint="eastAsia" w:ascii="仿宋_GB2312" w:hAnsi="仿宋_GB2312" w:eastAsia="仿宋_GB2312" w:cs="仿宋_GB2312"/>
          <w:b w:val="0"/>
          <w:bCs w:val="0"/>
          <w:kern w:val="0"/>
          <w:sz w:val="32"/>
          <w:szCs w:val="32"/>
          <w:shd w:val="clear" w:color="auto" w:fill="FFFFFF"/>
          <w:lang w:bidi="ar"/>
        </w:rPr>
        <w:t>附件1</w:t>
      </w:r>
    </w:p>
    <w:p>
      <w:pPr>
        <w:pStyle w:val="21"/>
        <w:adjustRightInd w:val="0"/>
        <w:jc w:val="center"/>
        <w:textAlignment w:val="baseline"/>
        <w:rPr>
          <w:rFonts w:hint="eastAsia" w:ascii="方正小标宋简体" w:hAnsi="方正小标宋简体" w:eastAsia="方正小标宋简体" w:cs="宋体"/>
          <w:bCs/>
          <w:kern w:val="0"/>
          <w:sz w:val="36"/>
          <w:szCs w:val="36"/>
        </w:rPr>
      </w:pPr>
    </w:p>
    <w:p>
      <w:pPr>
        <w:pStyle w:val="21"/>
        <w:adjustRightInd w:val="0"/>
        <w:jc w:val="center"/>
        <w:textAlignment w:val="baseline"/>
        <w:rPr>
          <w:rFonts w:hint="eastAsia" w:ascii="方正小标宋简体" w:hAnsi="方正小标宋简体" w:eastAsia="方正小标宋简体" w:cs="宋体"/>
          <w:bCs/>
          <w:kern w:val="0"/>
          <w:sz w:val="36"/>
          <w:szCs w:val="36"/>
        </w:rPr>
      </w:pPr>
      <w:bookmarkStart w:id="8" w:name="_GoBack"/>
      <w:r>
        <w:rPr>
          <w:rFonts w:hint="eastAsia" w:ascii="方正小标宋简体" w:hAnsi="方正小标宋简体" w:eastAsia="方正小标宋简体" w:cs="宋体"/>
          <w:bCs/>
          <w:kern w:val="0"/>
          <w:sz w:val="36"/>
          <w:szCs w:val="36"/>
        </w:rPr>
        <w:t>“福建省重点培育和发展的国际知名品牌”</w:t>
      </w:r>
    </w:p>
    <w:bookmarkEnd w:id="8"/>
    <w:p>
      <w:pPr>
        <w:pStyle w:val="21"/>
        <w:adjustRightInd w:val="0"/>
        <w:jc w:val="center"/>
        <w:textAlignment w:val="baseline"/>
        <w:rPr>
          <w:rFonts w:hint="eastAsia" w:ascii="楷体_GB2312" w:hAnsi="楷体_GB2312" w:eastAsia="楷体_GB2312" w:cs="楷体_GB2312"/>
          <w:b/>
          <w:bCs/>
          <w:sz w:val="32"/>
          <w:szCs w:val="32"/>
          <w:shd w:val="clear" w:color="auto" w:fill="FFFFFF"/>
        </w:rPr>
      </w:pPr>
      <w:r>
        <w:rPr>
          <w:rFonts w:hint="eastAsia" w:ascii="方正小标宋简体" w:hAnsi="方正小标宋简体" w:eastAsia="方正小标宋简体" w:cs="宋体"/>
          <w:bCs/>
          <w:kern w:val="0"/>
          <w:sz w:val="36"/>
          <w:szCs w:val="36"/>
          <w:lang w:eastAsia="zh-CN"/>
        </w:rPr>
        <w:t>认定</w:t>
      </w:r>
      <w:r>
        <w:rPr>
          <w:rFonts w:hint="eastAsia" w:ascii="方正小标宋简体" w:hAnsi="方正小标宋简体" w:eastAsia="方正小标宋简体" w:cs="宋体"/>
          <w:bCs/>
          <w:kern w:val="0"/>
          <w:sz w:val="36"/>
          <w:szCs w:val="36"/>
        </w:rPr>
        <w:t>办法（</w:t>
      </w:r>
      <w:r>
        <w:rPr>
          <w:rFonts w:hint="eastAsia" w:ascii="方正小标宋简体" w:hAnsi="方正小标宋简体" w:eastAsia="方正小标宋简体" w:cs="方正小标宋简体"/>
          <w:sz w:val="36"/>
          <w:szCs w:val="36"/>
          <w:shd w:val="clear" w:color="auto" w:fill="FFFFFF"/>
        </w:rPr>
        <w:t>2026-2028年度</w:t>
      </w:r>
      <w:r>
        <w:rPr>
          <w:rFonts w:hint="eastAsia" w:ascii="方正小标宋简体" w:hAnsi="方正小标宋简体" w:eastAsia="方正小标宋简体" w:cs="宋体"/>
          <w:bCs/>
          <w:kern w:val="0"/>
          <w:sz w:val="36"/>
          <w:szCs w:val="36"/>
        </w:rPr>
        <w:t>）</w:t>
      </w:r>
    </w:p>
    <w:bookmarkEnd w:id="0"/>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shd w:val="clear" w:color="auto" w:fill="FFFFFF"/>
        </w:rPr>
      </w:pP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为贯彻落实中央及省级商务发展政策，进一步扩大高水平对外开放，有力推进全省外贸高质量发展，开展新一轮“福建省重点培育和发展的国际知名品牌”</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rPr>
        <w:t>6</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rPr>
        <w:t>8</w:t>
      </w:r>
      <w:r>
        <w:rPr>
          <w:rFonts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rPr>
        <w:t>度</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培育评选工作，支持我省外贸企业加快培育自主品牌，提升产品附加值和国际竞争力，推动我省外贸量稳质升，服务构建新发展格局。</w:t>
      </w:r>
      <w:r>
        <w:rPr>
          <w:rFonts w:hint="eastAsia" w:ascii="仿宋_GB2312" w:hAnsi="仿宋_GB2312" w:eastAsia="仿宋_GB2312" w:cs="仿宋_GB2312"/>
          <w:sz w:val="32"/>
          <w:szCs w:val="32"/>
        </w:rPr>
        <w:t>现结合当前工作实际，</w:t>
      </w:r>
      <w:r>
        <w:rPr>
          <w:rFonts w:hint="eastAsia" w:ascii="仿宋_GB2312" w:hAnsi="仿宋_GB2312" w:eastAsia="仿宋_GB2312" w:cs="仿宋_GB2312"/>
          <w:sz w:val="32"/>
          <w:szCs w:val="32"/>
          <w:shd w:val="clear" w:color="auto" w:fill="FFFFFF"/>
        </w:rPr>
        <w:t>制定本办法。</w:t>
      </w:r>
    </w:p>
    <w:p>
      <w:pPr>
        <w:pStyle w:val="5"/>
        <w:widowControl/>
        <w:spacing w:before="0" w:beforeAutospacing="0" w:after="0" w:afterAutospacing="0" w:line="620" w:lineRule="exact"/>
        <w:ind w:firstLine="636" w:firstLineChars="200"/>
        <w:jc w:val="both"/>
        <w:rPr>
          <w:rFonts w:hint="eastAsia" w:ascii="仿宋_GB2312" w:hAnsi="仿宋_GB2312" w:eastAsia="黑体" w:cs="仿宋_GB2312"/>
          <w:sz w:val="32"/>
          <w:szCs w:val="32"/>
        </w:rPr>
      </w:pPr>
      <w:r>
        <w:rPr>
          <w:rFonts w:hint="eastAsia" w:ascii="黑体" w:hAnsi="黑体" w:eastAsia="黑体" w:cs="黑体"/>
          <w:sz w:val="32"/>
          <w:szCs w:val="32"/>
          <w:shd w:val="clear" w:color="auto" w:fill="FFFFFF"/>
        </w:rPr>
        <w:t>一、评选原则</w:t>
      </w:r>
    </w:p>
    <w:p>
      <w:pPr>
        <w:pStyle w:val="5"/>
        <w:widowControl/>
        <w:spacing w:before="0" w:beforeAutospacing="0" w:after="0" w:afterAutospacing="0" w:line="620" w:lineRule="exact"/>
        <w:ind w:firstLine="63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福建省重点培育和发展的国际知名品牌培育评选，遵循公开、公正、公平、科学的原则，按照分类申报、分类管理的方式，实行动态管理。</w:t>
      </w:r>
    </w:p>
    <w:p>
      <w:pPr>
        <w:pStyle w:val="5"/>
        <w:widowControl/>
        <w:spacing w:before="0" w:beforeAutospacing="0" w:after="0" w:afterAutospacing="0" w:line="620" w:lineRule="exact"/>
        <w:ind w:firstLine="636" w:firstLineChars="200"/>
        <w:jc w:val="both"/>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二、申报资格条件</w:t>
      </w:r>
    </w:p>
    <w:p>
      <w:pPr>
        <w:pStyle w:val="5"/>
        <w:widowControl/>
        <w:spacing w:before="0" w:beforeAutospacing="0" w:after="0" w:afterAutospacing="0" w:line="620" w:lineRule="exact"/>
        <w:ind w:firstLine="63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申报福建省重点培育和发展的国际知名品牌企业，应具备以下所有条件：</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（一）在福建省依法注册，具有企业法人资格。</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（二）企业2025年度国际销售收入</w:t>
      </w:r>
      <w:r>
        <w:rPr>
          <w:rFonts w:ascii="仿宋_GB2312" w:hAnsi="仿宋_GB2312" w:eastAsia="仿宋_GB2312" w:cs="仿宋_GB2312"/>
          <w:sz w:val="32"/>
          <w:szCs w:val="32"/>
          <w:shd w:val="clear" w:color="auto" w:fill="FFFFFF"/>
        </w:rPr>
        <w:t>在2000</w:t>
      </w:r>
      <w:r>
        <w:rPr>
          <w:rFonts w:hint="eastAsia" w:ascii="仿宋_GB2312" w:hAnsi="仿宋_GB2312" w:eastAsia="仿宋_GB2312" w:cs="仿宋_GB2312"/>
          <w:sz w:val="32"/>
          <w:szCs w:val="32"/>
          <w:shd w:val="clear" w:color="auto" w:fill="FFFFFF"/>
        </w:rPr>
        <w:t>万元（含）以上，且在国际市场具有一定份额。</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（三）通过国际通行的管理体系认证。</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（四）申报类别商品在境外（含港、澳、台）已注册商标，且商标在有效期内；</w:t>
      </w:r>
      <w:bookmarkStart w:id="1" w:name="OLE_LINK3"/>
      <w:r>
        <w:rPr>
          <w:rFonts w:hint="eastAsia" w:ascii="仿宋_GB2312" w:hAnsi="仿宋_GB2312" w:eastAsia="仿宋_GB2312" w:cs="仿宋_GB2312"/>
          <w:sz w:val="32"/>
          <w:szCs w:val="32"/>
          <w:shd w:val="clear" w:color="auto" w:fill="FFFFFF"/>
        </w:rPr>
        <w:t>商标注册范围（核定使用商品）涵盖申报类别商品</w:t>
      </w:r>
      <w:bookmarkEnd w:id="1"/>
      <w:r>
        <w:rPr>
          <w:rFonts w:hint="eastAsia" w:ascii="仿宋_GB2312" w:hAnsi="仿宋_GB2312" w:eastAsia="仿宋_GB2312" w:cs="仿宋_GB2312"/>
          <w:sz w:val="32"/>
          <w:szCs w:val="32"/>
          <w:shd w:val="clear" w:color="auto" w:fill="FFFFFF"/>
        </w:rPr>
        <w:t>，申请企业拥有该商标所有权，申报商标无争议。</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（五）经营状况良好，符合国家安全、卫生、环保、社会责任等法律法规规定，自2023年1月1日以来无严重违法违规行为。</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（六）企业应积极配合商务部门开展调研等相关工作。</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可使用母（子）企业资质进行参评。允许母公司使用其全资子公司、绝对控股子公司或相对控股子公司相关资质参加评审；允许子公司使用对其绝对控股的母公司或该母公司绝对控股的其他子公司的相关资质参加评审。具体要求详见附件1</w:t>
      </w:r>
      <w:r>
        <w:rPr>
          <w:rFonts w:hint="eastAsia" w:ascii="仿宋_GB2312" w:hAnsi="仿宋_GB2312" w:eastAsia="仿宋_GB2312" w:cs="仿宋_GB2312"/>
          <w:sz w:val="32"/>
          <w:szCs w:val="32"/>
          <w:shd w:val="clear" w:color="auto" w:fill="FFFFFF"/>
          <w:lang w:eastAsia="zh"/>
        </w:rPr>
        <w:t>-1</w:t>
      </w:r>
      <w:r>
        <w:rPr>
          <w:rFonts w:hint="eastAsia" w:ascii="仿宋_GB2312" w:hAnsi="仿宋_GB2312" w:eastAsia="仿宋_GB2312" w:cs="仿宋_GB2312"/>
          <w:sz w:val="32"/>
          <w:szCs w:val="32"/>
          <w:shd w:val="clear" w:color="auto" w:fill="FFFFFF"/>
        </w:rPr>
        <w:t>。</w:t>
      </w:r>
    </w:p>
    <w:p>
      <w:pPr>
        <w:pStyle w:val="5"/>
        <w:widowControl/>
        <w:spacing w:before="0" w:beforeAutospacing="0" w:after="0" w:afterAutospacing="0" w:line="620" w:lineRule="exact"/>
        <w:ind w:firstLine="636" w:firstLineChars="200"/>
        <w:jc w:val="both"/>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三、评选指标和评分标准</w:t>
      </w:r>
    </w:p>
    <w:p>
      <w:pPr>
        <w:pStyle w:val="5"/>
        <w:ind w:firstLine="636" w:firstLineChars="200"/>
        <w:rPr>
          <w:rFonts w:eastAsia="仿宋_GB2312"/>
          <w:sz w:val="32"/>
          <w:szCs w:val="32"/>
        </w:rPr>
      </w:pPr>
      <w:r>
        <w:rPr>
          <w:rFonts w:hint="eastAsia" w:ascii="仿宋_GB2312" w:hAnsi="仿宋_GB2312" w:eastAsia="仿宋_GB2312" w:cs="仿宋_GB2312"/>
          <w:sz w:val="32"/>
          <w:szCs w:val="32"/>
          <w:shd w:val="clear" w:color="auto" w:fill="FFFFFF"/>
        </w:rPr>
        <w:t>对符合申报资格条件的企业，按以下评选指标和评分标准进行量化评分。企业提交的申报材料中</w:t>
      </w:r>
      <w:r>
        <w:rPr>
          <w:rFonts w:hint="eastAsia" w:ascii="仿宋_GB2312" w:hAnsi="仿宋_GB2312" w:eastAsia="仿宋_GB2312" w:cs="仿宋_GB2312"/>
          <w:sz w:val="32"/>
          <w:szCs w:val="32"/>
        </w:rPr>
        <w:t>国际通行认证的质量管理体系、环境管理体系或行业认证的有效证书持有者，境内外注册商标持有者等须与福建省重点培育和发展的国际知名品牌申请企业（含本办法认定的母子关系企业）一致。评选指标中所涉及的出口额、增速等以海关统计口径为准。</w:t>
      </w:r>
    </w:p>
    <w:p>
      <w:pPr>
        <w:tabs>
          <w:tab w:val="left" w:pos="540"/>
        </w:tabs>
        <w:spacing w:line="620" w:lineRule="exact"/>
        <w:ind w:firstLine="636" w:firstLineChars="200"/>
        <w:rPr>
          <w:rFonts w:hint="eastAsia" w:ascii="楷体" w:hAnsi="楷体" w:eastAsia="楷体"/>
          <w:b/>
          <w:bCs/>
          <w:sz w:val="32"/>
          <w:szCs w:val="32"/>
        </w:rPr>
      </w:pPr>
      <w:r>
        <w:rPr>
          <w:rFonts w:hint="eastAsia" w:ascii="楷体" w:hAnsi="楷体" w:eastAsia="楷体"/>
          <w:b/>
          <w:bCs/>
          <w:sz w:val="32"/>
          <w:szCs w:val="32"/>
        </w:rPr>
        <w:t>（一）研发创新和自主知识产权（30分）</w:t>
      </w:r>
    </w:p>
    <w:p>
      <w:pPr>
        <w:tabs>
          <w:tab w:val="left" w:pos="540"/>
        </w:tabs>
        <w:spacing w:line="620" w:lineRule="exact"/>
        <w:ind w:firstLine="636" w:firstLineChars="200"/>
        <w:rPr>
          <w:rFonts w:hint="eastAsia" w:ascii="仿宋_GB2312" w:hAnsi="仿宋_GB2312" w:eastAsia="仿宋_GB2312"/>
          <w:bCs/>
          <w:sz w:val="32"/>
          <w:szCs w:val="32"/>
        </w:rPr>
      </w:pPr>
      <w:r>
        <w:rPr>
          <w:rFonts w:hint="eastAsia" w:ascii="仿宋_GB2312" w:eastAsia="仿宋_GB2312"/>
          <w:bCs/>
          <w:sz w:val="32"/>
          <w:szCs w:val="32"/>
        </w:rPr>
        <w:t>1.专利与版权。专利包括在境内外申请的合法持有的发明、实用新型和外观设计，其中，在境外申请的专利特指通过巴黎公约或专利合作条约（PCT）申请的，且可通过联合国世界知识产权组织等权威机构检索到的专利。发明专利每拥有并转化运用一项得3分；实用新型专利每拥有并转化运用一项得1分；已转化运用的外观专利或省级及以上版权每五项加1分，不足五项不计分，累计不超过5分。此项累计不超过10分。</w:t>
      </w:r>
    </w:p>
    <w:p>
      <w:pPr>
        <w:tabs>
          <w:tab w:val="left" w:pos="540"/>
        </w:tabs>
        <w:spacing w:line="620" w:lineRule="exact"/>
        <w:ind w:firstLine="636" w:firstLineChars="200"/>
        <w:rPr>
          <w:rFonts w:hint="eastAsia" w:ascii="仿宋_GB2312" w:hAnsi="仿宋_GB2312" w:eastAsia="仿宋_GB2312"/>
          <w:sz w:val="32"/>
          <w:szCs w:val="32"/>
        </w:rPr>
      </w:pPr>
      <w:r>
        <w:rPr>
          <w:rFonts w:hint="eastAsia" w:ascii="仿宋_GB2312" w:hAnsi="仿宋_GB2312" w:eastAsia="仿宋_GB2312"/>
          <w:sz w:val="32"/>
          <w:szCs w:val="32"/>
        </w:rPr>
        <w:t>2.国家认定研发创新类企业。制造业单项冠军、国家企业技术中心得5分；专精特新“小巨人”、制造业单项冠军产品、国家级（包括2008年以后由省级认定机构按国家标准认定的）高新技术企业得3分；省级专精特新中小企业得1分（专精特新“小巨人”企业该项不重复计分）；省级企业技术中心得1分。此项累计不超过15分。</w:t>
      </w:r>
    </w:p>
    <w:p>
      <w:pPr>
        <w:tabs>
          <w:tab w:val="left" w:pos="540"/>
        </w:tabs>
        <w:spacing w:line="620" w:lineRule="exact"/>
        <w:ind w:firstLine="636" w:firstLineChars="200"/>
        <w:rPr>
          <w:rFonts w:hint="eastAsia" w:ascii="仿宋_GB2312" w:hAnsi="仿宋_GB2312" w:eastAsia="仿宋_GB2312"/>
          <w:sz w:val="32"/>
          <w:szCs w:val="32"/>
        </w:rPr>
      </w:pPr>
      <w:r>
        <w:rPr>
          <w:rFonts w:hint="eastAsia" w:ascii="仿宋_GB2312" w:hAnsi="仿宋_GB2312" w:eastAsia="仿宋_GB2312"/>
          <w:sz w:val="32"/>
          <w:szCs w:val="32"/>
        </w:rPr>
        <w:t>3.国家标准或行业标准。每制定或修订一个产品（技术）的国家标准或行业标准得3分，</w:t>
      </w:r>
      <w:r>
        <w:rPr>
          <w:rFonts w:hint="eastAsia" w:ascii="仿宋_GB2312" w:eastAsia="仿宋_GB2312"/>
          <w:bCs/>
          <w:sz w:val="32"/>
          <w:szCs w:val="32"/>
        </w:rPr>
        <w:t>此项</w:t>
      </w:r>
      <w:r>
        <w:rPr>
          <w:rFonts w:hint="eastAsia" w:ascii="仿宋_GB2312" w:hAnsi="仿宋_GB2312" w:eastAsia="仿宋_GB2312"/>
          <w:sz w:val="32"/>
          <w:szCs w:val="32"/>
        </w:rPr>
        <w:t>累计不超过5分。</w:t>
      </w:r>
    </w:p>
    <w:p>
      <w:pPr>
        <w:spacing w:line="620" w:lineRule="exact"/>
        <w:ind w:firstLine="636" w:firstLineChars="200"/>
        <w:rPr>
          <w:rFonts w:hint="eastAsia" w:ascii="楷体" w:hAnsi="楷体" w:eastAsia="楷体"/>
          <w:sz w:val="32"/>
          <w:szCs w:val="32"/>
        </w:rPr>
      </w:pPr>
      <w:r>
        <w:rPr>
          <w:rFonts w:hint="eastAsia" w:ascii="楷体" w:hAnsi="楷体" w:eastAsia="楷体"/>
          <w:b/>
          <w:bCs/>
          <w:sz w:val="32"/>
          <w:szCs w:val="32"/>
        </w:rPr>
        <w:t>（二）国际通行认证（</w:t>
      </w:r>
      <w:r>
        <w:rPr>
          <w:rFonts w:ascii="楷体" w:hAnsi="楷体" w:eastAsia="楷体"/>
          <w:b/>
          <w:bCs/>
          <w:sz w:val="32"/>
          <w:szCs w:val="32"/>
        </w:rPr>
        <w:t>15</w:t>
      </w:r>
      <w:r>
        <w:rPr>
          <w:rFonts w:hint="eastAsia" w:ascii="楷体" w:hAnsi="楷体" w:eastAsia="楷体"/>
          <w:b/>
          <w:bCs/>
          <w:sz w:val="32"/>
          <w:szCs w:val="32"/>
        </w:rPr>
        <w:t>分）</w:t>
      </w:r>
    </w:p>
    <w:p>
      <w:pPr>
        <w:pStyle w:val="25"/>
        <w:spacing w:line="620" w:lineRule="exact"/>
        <w:ind w:firstLine="63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1.国际质量管理体系、环境管理体系指：ISO9000系列质量管理体系、ISO14000系列环境管理体系、ISO45000系列职业健康安全管理体系、SA8000社会责任标准。通过一项认证得2分。</w:t>
      </w:r>
    </w:p>
    <w:p>
      <w:pPr>
        <w:pStyle w:val="25"/>
        <w:spacing w:line="620" w:lineRule="exact"/>
        <w:ind w:firstLine="63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2.面向企业的行业认证包括Oeko-Tex Standard 100生态纺织品认证、HACCP食品生产企业危害分析与关键控制点管理体系、ISO22000食品安全管理、ISO/TS16949或IATF16949汽车行业质量体系、ISO13485医疗器械质量管理体系认证、CGMP动态药品生产质量管理规范认证、英国零售商协会BRC认证，通过一项认证得2分。</w:t>
      </w:r>
    </w:p>
    <w:p>
      <w:pPr>
        <w:pStyle w:val="25"/>
        <w:spacing w:line="620" w:lineRule="exact"/>
        <w:ind w:firstLine="63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面向产品或生产线的行业认证标准包括欧盟CE、EMC、ROHS、PAHS、REACH、EC认证、美国UL、UPC、FDA、ETL、FCC、EPA、CPSC认证、美国药典认证USP、加拿大CSA、CETL认证、澳大利亚WATERMARK、TGA、SAA认证、RCM认证、欧洲药典适用性认证COS、德国GS、TUV认证、英国BSI、UKCA认证、海湾GCC认证、日本药品和医疗器械管理局认证PMDA、日本药物主文档认证JDMF、日本PSE认证、韩国KS认证、WHO PQ认证、Halal认证、Kosher认证、IECEE CB认证、BSCI认证、GRS认证、BV认证、SMETA认证、俄罗斯EAC认证、印度BIS认证、印尼SNI认证、巴西INMETRO认证，通过一项认证得1分，同个产品或生产线通过多项认证累计不超过2分。</w:t>
      </w:r>
    </w:p>
    <w:p>
      <w:pPr>
        <w:pStyle w:val="25"/>
        <w:spacing w:line="620" w:lineRule="exact"/>
        <w:ind w:firstLine="636"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以上国际通行认证累计不超过15分。</w:t>
      </w:r>
    </w:p>
    <w:p>
      <w:pPr>
        <w:spacing w:line="620" w:lineRule="exact"/>
        <w:ind w:firstLine="636" w:firstLineChars="200"/>
        <w:rPr>
          <w:rFonts w:hint="eastAsia" w:ascii="楷体" w:hAnsi="楷体" w:eastAsia="楷体"/>
          <w:b/>
          <w:bCs/>
          <w:sz w:val="32"/>
          <w:szCs w:val="32"/>
        </w:rPr>
      </w:pPr>
      <w:r>
        <w:rPr>
          <w:rFonts w:hint="eastAsia" w:ascii="楷体" w:hAnsi="楷体" w:eastAsia="楷体"/>
          <w:b/>
          <w:bCs/>
          <w:sz w:val="32"/>
          <w:szCs w:val="32"/>
        </w:rPr>
        <w:t>（三）品牌建设（5分）</w:t>
      </w:r>
    </w:p>
    <w:p>
      <w:pPr>
        <w:pStyle w:val="25"/>
        <w:spacing w:line="620" w:lineRule="exact"/>
        <w:ind w:firstLine="63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1.企业进入商务部认定的国家/省级外贸转型升级基地且主营业务与该基地特色产业相一致的，国家级得2分、省级得1分，同时获得的选取其中一项加分。</w:t>
      </w:r>
    </w:p>
    <w:p>
      <w:pPr>
        <w:pStyle w:val="25"/>
        <w:spacing w:line="620" w:lineRule="exact"/>
        <w:ind w:firstLine="63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2.已建设国际营销服务体系（境外分支机构、零售网点、批发展示中心、售后维修网点、海外仓等）且海外设立的机构须经官方备案。设立5家（含）以内的得1分，5家以上的得2分。</w:t>
      </w:r>
    </w:p>
    <w:p>
      <w:pPr>
        <w:pStyle w:val="25"/>
        <w:spacing w:line="620" w:lineRule="exact"/>
        <w:ind w:firstLine="63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仿宋_GB2312" w:eastAsia="仿宋_GB2312" w:cs="仿宋_GB2312"/>
          <w:sz w:val="32"/>
          <w:szCs w:val="32"/>
        </w:rPr>
        <w:t>2023-2025年</w:t>
      </w:r>
      <w:r>
        <w:rPr>
          <w:rFonts w:hint="eastAsia" w:ascii="仿宋_GB2312" w:hAnsi="Times New Roman" w:eastAsia="仿宋_GB2312" w:cs="Times New Roman"/>
          <w:sz w:val="32"/>
          <w:szCs w:val="32"/>
        </w:rPr>
        <w:t>，参加省政府组织的重要境外经贸活动每场得1分；参加商务部、中国六大行业商协会主办或支持的境外展会每场得0.5分；参加“福品销全球”项目清单内的境外展会每场得0.5分，</w:t>
      </w:r>
      <w:bookmarkStart w:id="2" w:name="OLE_LINK8"/>
      <w:r>
        <w:rPr>
          <w:rFonts w:hint="eastAsia" w:ascii="仿宋_GB2312" w:eastAsia="仿宋_GB2312"/>
          <w:bCs/>
          <w:sz w:val="32"/>
          <w:szCs w:val="32"/>
        </w:rPr>
        <w:t>此项</w:t>
      </w:r>
      <w:bookmarkEnd w:id="2"/>
      <w:r>
        <w:rPr>
          <w:rFonts w:hint="eastAsia" w:ascii="仿宋_GB2312" w:hAnsi="Times New Roman" w:eastAsia="仿宋_GB2312" w:cs="Times New Roman"/>
          <w:sz w:val="32"/>
          <w:szCs w:val="32"/>
        </w:rPr>
        <w:t>累计不超过2分。</w:t>
      </w:r>
    </w:p>
    <w:p>
      <w:pPr>
        <w:pStyle w:val="25"/>
        <w:spacing w:line="620" w:lineRule="exact"/>
        <w:ind w:firstLine="636"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以上品牌建设累计不超过5分。</w:t>
      </w:r>
    </w:p>
    <w:p>
      <w:pPr>
        <w:spacing w:line="620" w:lineRule="exact"/>
        <w:ind w:firstLine="636" w:firstLineChars="200"/>
        <w:rPr>
          <w:rFonts w:hint="eastAsia" w:ascii="楷体" w:hAnsi="楷体" w:eastAsia="楷体"/>
          <w:b/>
          <w:bCs/>
          <w:sz w:val="32"/>
          <w:szCs w:val="32"/>
        </w:rPr>
      </w:pPr>
      <w:r>
        <w:rPr>
          <w:rFonts w:hint="eastAsia" w:ascii="楷体" w:hAnsi="楷体" w:eastAsia="楷体"/>
          <w:b/>
          <w:bCs/>
          <w:sz w:val="32"/>
          <w:szCs w:val="32"/>
        </w:rPr>
        <w:t>（四）市场销售（30分）</w:t>
      </w:r>
    </w:p>
    <w:p>
      <w:pPr>
        <w:pStyle w:val="25"/>
        <w:spacing w:line="620" w:lineRule="exact"/>
        <w:ind w:firstLine="636" w:firstLineChars="200"/>
        <w:rPr>
          <w:rFonts w:hint="eastAsia" w:ascii="仿宋_GB2312" w:hAnsi="仿宋_GB2312" w:eastAsia="仿宋_GB2312"/>
          <w:sz w:val="32"/>
          <w:szCs w:val="32"/>
        </w:rPr>
      </w:pPr>
      <w:r>
        <w:rPr>
          <w:rFonts w:hint="eastAsia" w:ascii="仿宋_GB2312" w:hAnsi="Times New Roman" w:eastAsia="仿宋_GB2312" w:cs="Times New Roman"/>
          <w:b/>
          <w:sz w:val="32"/>
          <w:szCs w:val="32"/>
        </w:rPr>
        <w:t>1.企业国际市场销售总额及增长情况。</w:t>
      </w:r>
      <w:r>
        <w:rPr>
          <w:rFonts w:hint="eastAsia" w:ascii="仿宋_GB2312" w:hAnsi="仿宋_GB2312" w:eastAsia="仿宋_GB2312"/>
          <w:sz w:val="32"/>
          <w:szCs w:val="32"/>
        </w:rPr>
        <w:t>2023-2025年度，食品土畜类、轻工工艺类、医药保健类、纺织服装类企业年均出口额达到2000万元得2分，每超过1000万元加1分；机电类、五矿化工类年均出口额达到2000万元得2分，每超过1500万元加1分。2023-2025年，年均出口额以加权平均法计算，即2023年出口额占比20%、2024年出口额占比30%、2025年出口额占比50%，</w:t>
      </w:r>
      <w:r>
        <w:rPr>
          <w:rFonts w:hint="eastAsia" w:ascii="仿宋_GB2312" w:eastAsia="仿宋_GB2312"/>
          <w:bCs/>
          <w:sz w:val="32"/>
          <w:szCs w:val="32"/>
        </w:rPr>
        <w:t>此项</w:t>
      </w:r>
      <w:r>
        <w:rPr>
          <w:rFonts w:hint="eastAsia" w:ascii="仿宋_GB2312" w:hAnsi="仿宋_GB2312" w:eastAsia="仿宋_GB2312" w:cs="仿宋_GB2312"/>
          <w:sz w:val="32"/>
          <w:szCs w:val="32"/>
        </w:rPr>
        <w:t>累计不超过20分。</w:t>
      </w:r>
    </w:p>
    <w:p>
      <w:pPr>
        <w:spacing w:line="620" w:lineRule="exact"/>
        <w:ind w:firstLine="636" w:firstLineChars="200"/>
        <w:rPr>
          <w:rFonts w:hint="eastAsia" w:ascii="仿宋_GB2312" w:hAnsi="仿宋_GB2312" w:eastAsia="仿宋_GB2312" w:cs="仿宋_GB2312"/>
          <w:sz w:val="32"/>
          <w:szCs w:val="32"/>
        </w:rPr>
      </w:pPr>
      <w:r>
        <w:rPr>
          <w:rFonts w:hint="eastAsia" w:ascii="仿宋_GB2312" w:hAnsi="仿宋_GB2312" w:eastAsia="仿宋_GB2312"/>
          <w:sz w:val="32"/>
          <w:szCs w:val="32"/>
        </w:rPr>
        <w:t>2023-2025年度，年均出口实现正增长的得1分，年均出口增速高于全省的得2分。2022年无出口实绩的企业，2023-2025年度年均增速视为100%，</w:t>
      </w:r>
      <w:r>
        <w:rPr>
          <w:rFonts w:hint="eastAsia" w:ascii="仿宋_GB2312" w:eastAsia="仿宋_GB2312"/>
          <w:bCs/>
          <w:sz w:val="32"/>
          <w:szCs w:val="32"/>
        </w:rPr>
        <w:t>此项</w:t>
      </w:r>
      <w:r>
        <w:rPr>
          <w:rFonts w:hint="eastAsia" w:ascii="仿宋_GB2312" w:hAnsi="仿宋_GB2312" w:eastAsia="仿宋_GB2312" w:cs="仿宋_GB2312"/>
          <w:sz w:val="32"/>
          <w:szCs w:val="32"/>
        </w:rPr>
        <w:t>累计不超过3分。</w:t>
      </w:r>
    </w:p>
    <w:p>
      <w:pPr>
        <w:pStyle w:val="25"/>
        <w:spacing w:line="620" w:lineRule="exact"/>
        <w:ind w:firstLine="636" w:firstLineChars="200"/>
        <w:rPr>
          <w:rFonts w:hint="eastAsia" w:ascii="仿宋_GB2312" w:hAnsi="仿宋_GB2312" w:eastAsia="仿宋_GB2312" w:cs="仿宋_GB2312"/>
          <w:sz w:val="32"/>
          <w:szCs w:val="32"/>
        </w:rPr>
      </w:pPr>
      <w:r>
        <w:rPr>
          <w:rFonts w:hint="eastAsia" w:ascii="仿宋_GB2312" w:hAnsi="Times New Roman" w:eastAsia="仿宋_GB2312" w:cs="Times New Roman"/>
          <w:b/>
          <w:sz w:val="32"/>
          <w:szCs w:val="32"/>
        </w:rPr>
        <w:t>2.内外贸一体化能力。</w:t>
      </w:r>
      <w:r>
        <w:rPr>
          <w:rFonts w:hint="eastAsia" w:ascii="仿宋_GB2312" w:hAnsi="Times New Roman" w:eastAsia="仿宋_GB2312"/>
          <w:bCs/>
          <w:sz w:val="32"/>
          <w:szCs w:val="32"/>
        </w:rPr>
        <w:t>上年度内销占企业销售总额</w:t>
      </w:r>
      <w:r>
        <w:rPr>
          <w:rFonts w:hint="eastAsia" w:ascii="仿宋_GB2312" w:eastAsia="仿宋_GB2312"/>
          <w:bCs/>
          <w:sz w:val="32"/>
          <w:szCs w:val="32"/>
        </w:rPr>
        <w:t>（内销金额+出口额）比例超过10%的得1分，占比较再上一年度正增长的得0.5分，占比</w:t>
      </w:r>
      <w:r>
        <w:rPr>
          <w:rFonts w:hint="eastAsia" w:ascii="仿宋_GB2312" w:hAnsi="Times New Roman" w:eastAsia="仿宋_GB2312"/>
          <w:bCs/>
          <w:sz w:val="32"/>
          <w:szCs w:val="32"/>
        </w:rPr>
        <w:t>每增长</w:t>
      </w:r>
      <w:r>
        <w:rPr>
          <w:rFonts w:hint="eastAsia" w:ascii="仿宋_GB2312" w:hAnsi="仿宋_GB2312" w:eastAsia="仿宋_GB2312"/>
          <w:sz w:val="32"/>
          <w:szCs w:val="32"/>
        </w:rPr>
        <w:t>1个百分点</w:t>
      </w:r>
      <w:r>
        <w:rPr>
          <w:rFonts w:hint="eastAsia" w:ascii="仿宋_GB2312" w:hAnsi="Times New Roman" w:eastAsia="仿宋_GB2312"/>
          <w:bCs/>
          <w:sz w:val="32"/>
          <w:szCs w:val="32"/>
        </w:rPr>
        <w:t>得0.1分，</w:t>
      </w:r>
      <w:r>
        <w:rPr>
          <w:rFonts w:hint="eastAsia" w:ascii="仿宋_GB2312" w:eastAsia="仿宋_GB2312"/>
          <w:bCs/>
          <w:sz w:val="32"/>
          <w:szCs w:val="32"/>
        </w:rPr>
        <w:t>此项</w:t>
      </w:r>
      <w:r>
        <w:rPr>
          <w:rFonts w:hint="eastAsia" w:ascii="仿宋_GB2312" w:hAnsi="Times New Roman" w:eastAsia="仿宋_GB2312"/>
          <w:bCs/>
          <w:sz w:val="32"/>
          <w:szCs w:val="32"/>
        </w:rPr>
        <w:t>累计不超过2分。内销金额以增值税申报表中企业计算税收的销售总额为准。</w:t>
      </w:r>
    </w:p>
    <w:p>
      <w:pPr>
        <w:pStyle w:val="25"/>
        <w:spacing w:line="620" w:lineRule="exact"/>
        <w:ind w:firstLine="636" w:firstLineChars="200"/>
        <w:rPr>
          <w:rFonts w:ascii="Times New Roman" w:hAnsi="Times New Roman" w:eastAsia="仿宋_GB2312"/>
          <w:sz w:val="32"/>
          <w:szCs w:val="32"/>
        </w:rPr>
      </w:pPr>
      <w:r>
        <w:rPr>
          <w:rFonts w:hint="eastAsia" w:ascii="仿宋_GB2312" w:hAnsi="Times New Roman" w:eastAsia="仿宋_GB2312" w:cs="Times New Roman"/>
          <w:b/>
          <w:sz w:val="32"/>
          <w:szCs w:val="32"/>
        </w:rPr>
        <w:t>3.申报商品的国内和国际市场占有率及排名情况，申报商品国际市场销售额在行业内排名情况。</w:t>
      </w:r>
      <w:r>
        <w:rPr>
          <w:rFonts w:hint="eastAsia" w:ascii="仿宋_GB2312" w:hAnsi="Times New Roman" w:eastAsia="仿宋_GB2312"/>
          <w:sz w:val="32"/>
          <w:szCs w:val="32"/>
        </w:rPr>
        <w:t>提供</w:t>
      </w:r>
      <w:r>
        <w:rPr>
          <w:rFonts w:hint="eastAsia" w:ascii="仿宋_GB2312" w:eastAsia="仿宋_GB2312"/>
          <w:sz w:val="32"/>
          <w:szCs w:val="32"/>
        </w:rPr>
        <w:t>省级（含）以上行业商协会或权威机构出具的</w:t>
      </w:r>
      <w:r>
        <w:rPr>
          <w:rFonts w:hint="eastAsia" w:ascii="仿宋_GB2312" w:hAnsi="Times New Roman" w:eastAsia="仿宋_GB2312"/>
          <w:sz w:val="32"/>
          <w:szCs w:val="32"/>
        </w:rPr>
        <w:t>有效证明</w:t>
      </w:r>
      <w:r>
        <w:rPr>
          <w:rFonts w:hint="eastAsia" w:ascii="仿宋_GB2312" w:eastAsia="仿宋_GB2312"/>
          <w:sz w:val="32"/>
          <w:szCs w:val="32"/>
        </w:rPr>
        <w:t>，</w:t>
      </w:r>
      <w:r>
        <w:rPr>
          <w:rFonts w:hint="eastAsia" w:ascii="仿宋_GB2312" w:hAnsi="Times New Roman" w:eastAsia="仿宋_GB2312"/>
          <w:sz w:val="32"/>
          <w:szCs w:val="32"/>
        </w:rPr>
        <w:t>在国际市场占有率或行业排名前10名，得5分；在国内同行业出口排名前3名，得3分。</w:t>
      </w:r>
      <w:r>
        <w:rPr>
          <w:rFonts w:hint="eastAsia" w:ascii="仿宋_GB2312" w:eastAsia="仿宋_GB2312"/>
          <w:bCs/>
          <w:sz w:val="32"/>
          <w:szCs w:val="32"/>
        </w:rPr>
        <w:t>此项</w:t>
      </w:r>
      <w:r>
        <w:rPr>
          <w:rFonts w:hint="eastAsia" w:ascii="仿宋_GB2312" w:hAnsi="Times New Roman" w:eastAsia="仿宋_GB2312"/>
          <w:sz w:val="32"/>
          <w:szCs w:val="32"/>
        </w:rPr>
        <w:t>累计不超过5分。</w:t>
      </w:r>
    </w:p>
    <w:p>
      <w:pPr>
        <w:pStyle w:val="21"/>
        <w:spacing w:line="620" w:lineRule="exact"/>
        <w:ind w:firstLine="645"/>
        <w:rPr>
          <w:rFonts w:hint="eastAsia" w:ascii="楷体" w:hAnsi="楷体" w:eastAsia="楷体"/>
          <w:b/>
          <w:bCs/>
          <w:kern w:val="0"/>
          <w:sz w:val="32"/>
          <w:szCs w:val="32"/>
        </w:rPr>
      </w:pPr>
      <w:r>
        <w:rPr>
          <w:rFonts w:hint="eastAsia" w:ascii="楷体" w:hAnsi="楷体" w:eastAsia="楷体"/>
          <w:b/>
          <w:bCs/>
          <w:kern w:val="0"/>
          <w:sz w:val="32"/>
          <w:szCs w:val="32"/>
        </w:rPr>
        <w:t>（五）商标注册及保护（</w:t>
      </w:r>
      <w:r>
        <w:rPr>
          <w:rFonts w:ascii="楷体" w:hAnsi="楷体" w:eastAsia="楷体"/>
          <w:b/>
          <w:bCs/>
          <w:kern w:val="0"/>
          <w:sz w:val="32"/>
          <w:szCs w:val="32"/>
        </w:rPr>
        <w:t>1</w:t>
      </w:r>
      <w:r>
        <w:rPr>
          <w:rFonts w:hint="eastAsia" w:ascii="楷体" w:hAnsi="楷体" w:eastAsia="楷体"/>
          <w:b/>
          <w:bCs/>
          <w:kern w:val="0"/>
          <w:sz w:val="32"/>
          <w:szCs w:val="32"/>
        </w:rPr>
        <w:t>0分）</w:t>
      </w:r>
    </w:p>
    <w:p>
      <w:pPr>
        <w:spacing w:line="620" w:lineRule="exact"/>
        <w:ind w:firstLine="645"/>
        <w:rPr>
          <w:rFonts w:hint="eastAsia" w:ascii="仿宋_GB2312" w:hAnsi="仿宋_GB2312" w:eastAsia="仿宋_GB2312"/>
          <w:sz w:val="32"/>
          <w:szCs w:val="32"/>
        </w:rPr>
      </w:pPr>
      <w:r>
        <w:rPr>
          <w:rFonts w:hint="eastAsia" w:ascii="仿宋_GB2312" w:hAnsi="仿宋_GB2312" w:eastAsia="仿宋_GB2312"/>
          <w:sz w:val="32"/>
          <w:szCs w:val="32"/>
        </w:rPr>
        <w:t>有境内注册商标的加1分。境外商标在一个国家</w:t>
      </w:r>
      <w:r>
        <w:rPr>
          <w:rFonts w:ascii="仿宋_GB2312" w:hAnsi="仿宋_GB2312" w:eastAsia="仿宋_GB2312"/>
          <w:sz w:val="32"/>
          <w:szCs w:val="32"/>
        </w:rPr>
        <w:t>(</w:t>
      </w:r>
      <w:r>
        <w:rPr>
          <w:rFonts w:hint="eastAsia" w:ascii="仿宋_GB2312" w:hAnsi="仿宋_GB2312" w:eastAsia="仿宋_GB2312"/>
          <w:sz w:val="32"/>
          <w:szCs w:val="32"/>
        </w:rPr>
        <w:t>地区</w:t>
      </w:r>
      <w:r>
        <w:rPr>
          <w:rFonts w:ascii="仿宋_GB2312" w:hAnsi="仿宋_GB2312" w:eastAsia="仿宋_GB2312"/>
          <w:sz w:val="32"/>
          <w:szCs w:val="32"/>
        </w:rPr>
        <w:t>)</w:t>
      </w:r>
      <w:r>
        <w:rPr>
          <w:rFonts w:hint="eastAsia" w:ascii="仿宋_GB2312" w:hAnsi="仿宋_GB2312" w:eastAsia="仿宋_GB2312"/>
          <w:sz w:val="32"/>
          <w:szCs w:val="32"/>
        </w:rPr>
        <w:t>注册</w:t>
      </w:r>
      <w:r>
        <w:rPr>
          <w:rFonts w:ascii="仿宋_GB2312" w:hAnsi="仿宋_GB2312" w:eastAsia="仿宋_GB2312"/>
          <w:sz w:val="32"/>
          <w:szCs w:val="32"/>
        </w:rPr>
        <w:t>(</w:t>
      </w:r>
      <w:r>
        <w:rPr>
          <w:rFonts w:hint="eastAsia" w:ascii="仿宋_GB2312" w:hAnsi="仿宋_GB2312" w:eastAsia="仿宋_GB2312"/>
          <w:sz w:val="32"/>
          <w:szCs w:val="32"/>
        </w:rPr>
        <w:t>包括注册多个</w:t>
      </w:r>
      <w:r>
        <w:rPr>
          <w:rFonts w:ascii="仿宋_GB2312" w:hAnsi="仿宋_GB2312" w:eastAsia="仿宋_GB2312"/>
          <w:sz w:val="32"/>
          <w:szCs w:val="32"/>
        </w:rPr>
        <w:t>)</w:t>
      </w:r>
      <w:r>
        <w:rPr>
          <w:rFonts w:hint="eastAsia" w:ascii="仿宋_GB2312" w:hAnsi="仿宋_GB2312" w:eastAsia="仿宋_GB2312"/>
          <w:sz w:val="32"/>
          <w:szCs w:val="32"/>
        </w:rPr>
        <w:t>得</w:t>
      </w:r>
      <w:r>
        <w:rPr>
          <w:rFonts w:ascii="仿宋_GB2312" w:hAnsi="仿宋_GB2312" w:eastAsia="仿宋_GB2312"/>
          <w:sz w:val="32"/>
          <w:szCs w:val="32"/>
        </w:rPr>
        <w:t>1</w:t>
      </w:r>
      <w:r>
        <w:rPr>
          <w:rFonts w:hint="eastAsia" w:ascii="仿宋_GB2312" w:hAnsi="仿宋_GB2312" w:eastAsia="仿宋_GB2312"/>
          <w:sz w:val="32"/>
          <w:szCs w:val="32"/>
        </w:rPr>
        <w:t>分，每增加一个国家</w:t>
      </w:r>
      <w:r>
        <w:rPr>
          <w:rFonts w:ascii="仿宋_GB2312" w:hAnsi="仿宋_GB2312" w:eastAsia="仿宋_GB2312"/>
          <w:sz w:val="32"/>
          <w:szCs w:val="32"/>
        </w:rPr>
        <w:t>(</w:t>
      </w:r>
      <w:r>
        <w:rPr>
          <w:rFonts w:hint="eastAsia" w:ascii="仿宋_GB2312" w:hAnsi="仿宋_GB2312" w:eastAsia="仿宋_GB2312"/>
          <w:sz w:val="32"/>
          <w:szCs w:val="32"/>
        </w:rPr>
        <w:t>地区</w:t>
      </w:r>
      <w:r>
        <w:rPr>
          <w:rFonts w:ascii="仿宋_GB2312" w:hAnsi="仿宋_GB2312" w:eastAsia="仿宋_GB2312"/>
          <w:sz w:val="32"/>
          <w:szCs w:val="32"/>
        </w:rPr>
        <w:t>)</w:t>
      </w:r>
      <w:r>
        <w:rPr>
          <w:rFonts w:hint="eastAsia" w:ascii="仿宋_GB2312" w:hAnsi="仿宋_GB2312" w:eastAsia="仿宋_GB2312"/>
          <w:sz w:val="32"/>
          <w:szCs w:val="32"/>
        </w:rPr>
        <w:t>加1分。获得欧盟知识产权局（EUIPO）、非洲知识产权组织（OAPI）注册的有效商标，按10分计算。获得“马德里协定”国际注册的</w:t>
      </w:r>
      <w:r>
        <w:rPr>
          <w:rFonts w:ascii="仿宋_GB2312" w:hAnsi="仿宋_GB2312" w:eastAsia="仿宋_GB2312"/>
          <w:sz w:val="32"/>
          <w:szCs w:val="32"/>
        </w:rPr>
        <w:t>(</w:t>
      </w:r>
      <w:r>
        <w:rPr>
          <w:rFonts w:hint="eastAsia" w:ascii="仿宋_GB2312" w:hAnsi="仿宋_GB2312" w:eastAsia="仿宋_GB2312"/>
          <w:sz w:val="32"/>
          <w:szCs w:val="32"/>
        </w:rPr>
        <w:t>简称“</w:t>
      </w:r>
      <w:r>
        <w:rPr>
          <w:rFonts w:ascii="仿宋_GB2312" w:hAnsi="仿宋_GB2312" w:eastAsia="仿宋_GB2312"/>
          <w:sz w:val="32"/>
          <w:szCs w:val="32"/>
        </w:rPr>
        <w:t>WIPO</w:t>
      </w:r>
      <w:r>
        <w:rPr>
          <w:rFonts w:hint="eastAsia" w:ascii="仿宋_GB2312" w:hAnsi="仿宋_GB2312" w:eastAsia="仿宋_GB2312"/>
          <w:sz w:val="32"/>
          <w:szCs w:val="32"/>
        </w:rPr>
        <w:t>”或“</w:t>
      </w:r>
      <w:r>
        <w:rPr>
          <w:rFonts w:ascii="仿宋_GB2312" w:hAnsi="仿宋_GB2312" w:eastAsia="仿宋_GB2312"/>
          <w:sz w:val="32"/>
          <w:szCs w:val="32"/>
        </w:rPr>
        <w:t>OMPI</w:t>
      </w:r>
      <w:r>
        <w:rPr>
          <w:rFonts w:hint="eastAsia" w:ascii="仿宋_GB2312" w:hAnsi="仿宋_GB2312" w:eastAsia="仿宋_GB2312"/>
          <w:sz w:val="32"/>
          <w:szCs w:val="32"/>
        </w:rPr>
        <w:t>”</w:t>
      </w:r>
      <w:r>
        <w:rPr>
          <w:rFonts w:ascii="仿宋_GB2312" w:hAnsi="仿宋_GB2312" w:eastAsia="仿宋_GB2312"/>
          <w:sz w:val="32"/>
          <w:szCs w:val="32"/>
        </w:rPr>
        <w:t>)</w:t>
      </w:r>
      <w:r>
        <w:rPr>
          <w:rFonts w:hint="eastAsia" w:ascii="仿宋_GB2312" w:hAnsi="仿宋_GB2312" w:eastAsia="仿宋_GB2312"/>
          <w:sz w:val="32"/>
          <w:szCs w:val="32"/>
        </w:rPr>
        <w:t>以协定国数量计分。在“比荷卢”</w:t>
      </w:r>
      <w:r>
        <w:rPr>
          <w:rFonts w:ascii="仿宋_GB2312" w:hAnsi="仿宋_GB2312" w:eastAsia="仿宋_GB2312"/>
          <w:sz w:val="32"/>
          <w:szCs w:val="32"/>
        </w:rPr>
        <w:t>(Benelux)</w:t>
      </w:r>
      <w:r>
        <w:rPr>
          <w:rFonts w:hint="eastAsia" w:ascii="仿宋_GB2312" w:hAnsi="仿宋_GB2312" w:eastAsia="仿宋_GB2312"/>
          <w:sz w:val="32"/>
          <w:szCs w:val="32"/>
        </w:rPr>
        <w:t>商标联盟注册的，得3分。商标</w:t>
      </w:r>
      <w:r>
        <w:rPr>
          <w:rFonts w:hint="eastAsia" w:eastAsia="仿宋_GB2312"/>
          <w:sz w:val="32"/>
          <w:szCs w:val="32"/>
        </w:rPr>
        <w:t>申请海关知识产权备案保护的，得1分。</w:t>
      </w:r>
    </w:p>
    <w:p>
      <w:pPr>
        <w:pStyle w:val="25"/>
        <w:ind w:firstLine="636" w:firstLineChars="200"/>
        <w:rPr>
          <w:rFonts w:hint="eastAsia" w:ascii="仿宋_GB2312" w:hAnsi="仿宋_GB2312" w:eastAsia="仿宋_GB2312"/>
          <w:sz w:val="32"/>
          <w:szCs w:val="32"/>
        </w:rPr>
      </w:pPr>
      <w:r>
        <w:rPr>
          <w:rFonts w:hint="eastAsia" w:ascii="Times New Roman" w:hAnsi="Times New Roman" w:eastAsia="仿宋_GB2312" w:cs="Times New Roman"/>
          <w:sz w:val="32"/>
          <w:szCs w:val="32"/>
        </w:rPr>
        <w:t>以上商标注册及保护</w:t>
      </w:r>
      <w:r>
        <w:rPr>
          <w:rFonts w:hint="eastAsia" w:ascii="仿宋_GB2312" w:hAnsi="仿宋_GB2312" w:eastAsia="仿宋_GB2312"/>
          <w:sz w:val="32"/>
          <w:szCs w:val="32"/>
        </w:rPr>
        <w:t>累计不超过</w:t>
      </w:r>
      <w:r>
        <w:rPr>
          <w:rFonts w:ascii="仿宋_GB2312" w:hAnsi="仿宋_GB2312" w:eastAsia="仿宋_GB2312"/>
          <w:sz w:val="32"/>
          <w:szCs w:val="32"/>
        </w:rPr>
        <w:t>1</w:t>
      </w:r>
      <w:r>
        <w:rPr>
          <w:rFonts w:hint="eastAsia" w:ascii="仿宋_GB2312" w:hAnsi="仿宋_GB2312" w:eastAsia="仿宋_GB2312"/>
          <w:sz w:val="32"/>
          <w:szCs w:val="32"/>
        </w:rPr>
        <w:t>0分。</w:t>
      </w:r>
    </w:p>
    <w:p>
      <w:pPr>
        <w:pStyle w:val="28"/>
        <w:autoSpaceDE/>
        <w:autoSpaceDN/>
        <w:spacing w:line="620" w:lineRule="exact"/>
        <w:ind w:firstLine="477" w:firstLineChars="150"/>
        <w:jc w:val="both"/>
        <w:rPr>
          <w:rFonts w:hint="eastAsia" w:ascii="楷体" w:hAnsi="楷体" w:eastAsia="楷体"/>
          <w:b/>
          <w:bCs/>
          <w:kern w:val="2"/>
          <w:sz w:val="32"/>
          <w:szCs w:val="32"/>
        </w:rPr>
      </w:pPr>
      <w:r>
        <w:rPr>
          <w:rFonts w:hint="eastAsia" w:ascii="楷体" w:hAnsi="楷体" w:eastAsia="楷体"/>
          <w:b/>
          <w:bCs/>
          <w:sz w:val="32"/>
          <w:szCs w:val="32"/>
        </w:rPr>
        <w:t>（六）社会评价（</w:t>
      </w:r>
      <w:r>
        <w:rPr>
          <w:rFonts w:ascii="楷体" w:hAnsi="楷体" w:eastAsia="楷体"/>
          <w:b/>
          <w:bCs/>
          <w:sz w:val="32"/>
          <w:szCs w:val="32"/>
        </w:rPr>
        <w:t>10</w:t>
      </w:r>
      <w:r>
        <w:rPr>
          <w:rFonts w:hint="eastAsia" w:ascii="楷体" w:hAnsi="楷体" w:eastAsia="楷体"/>
          <w:b/>
          <w:bCs/>
          <w:sz w:val="32"/>
          <w:szCs w:val="32"/>
        </w:rPr>
        <w:t>分）</w:t>
      </w:r>
    </w:p>
    <w:p>
      <w:pPr>
        <w:pStyle w:val="32"/>
        <w:widowControl w:val="0"/>
        <w:adjustRightInd w:val="0"/>
        <w:spacing w:before="0" w:beforeAutospacing="0" w:after="0" w:afterAutospacing="0" w:line="620" w:lineRule="exact"/>
        <w:ind w:firstLine="641"/>
        <w:jc w:val="both"/>
        <w:rPr>
          <w:rFonts w:hint="eastAsia" w:ascii="仿宋_GB2312" w:hAnsi="仿宋_GB2312" w:eastAsia="仿宋_GB2312"/>
          <w:sz w:val="32"/>
          <w:szCs w:val="32"/>
        </w:rPr>
      </w:pPr>
      <w:r>
        <w:rPr>
          <w:rFonts w:hint="eastAsia" w:ascii="仿宋_GB2312" w:hAnsi="仿宋_GB2312" w:eastAsia="仿宋_GB2312"/>
          <w:b/>
          <w:bCs/>
          <w:sz w:val="32"/>
          <w:szCs w:val="32"/>
        </w:rPr>
        <w:t>1.社会信誉表现。</w:t>
      </w:r>
      <w:r>
        <w:rPr>
          <w:rFonts w:hint="eastAsia" w:ascii="仿宋_GB2312" w:hAnsi="仿宋_GB2312" w:eastAsia="仿宋_GB2312"/>
          <w:sz w:val="32"/>
          <w:szCs w:val="32"/>
        </w:rPr>
        <w:t>获得中国质量奖、福建省政府质量奖</w:t>
      </w:r>
      <w:r>
        <w:rPr>
          <w:rFonts w:hint="eastAsia" w:ascii="仿宋_GB2312" w:hAnsi="仿宋_GB2312" w:eastAsia="仿宋_GB2312"/>
          <w:bCs/>
          <w:sz w:val="32"/>
          <w:szCs w:val="32"/>
        </w:rPr>
        <w:t>（均包括提名）得5分；获得上一届</w:t>
      </w:r>
      <w:r>
        <w:rPr>
          <w:rFonts w:hint="eastAsia" w:ascii="仿宋_GB2312" w:hAnsi="仿宋_GB2312" w:eastAsia="仿宋_GB2312"/>
          <w:sz w:val="32"/>
          <w:szCs w:val="32"/>
        </w:rPr>
        <w:t>福建省重点培育和发展的国际知名品牌的得3分；获得进出口行业企业信用等级评价AAA级的企业得3分，AA级企业得2分，A级企业得1分；获得</w:t>
      </w:r>
      <w:r>
        <w:rPr>
          <w:rFonts w:hint="eastAsia" w:ascii="仿宋_GB2312" w:eastAsia="仿宋_GB2312" w:cs="Times New Roman"/>
          <w:sz w:val="32"/>
          <w:szCs w:val="32"/>
        </w:rPr>
        <w:t>海关AEO认证企业（福州海关、厦门海关等评定）得1分；获得工信、农业农村、林业等部门评定的省级及以上行业龙头企业，国家级得2分，省级得1分。</w:t>
      </w:r>
      <w:r>
        <w:rPr>
          <w:rFonts w:hint="eastAsia" w:ascii="仿宋_GB2312" w:eastAsia="仿宋_GB2312"/>
          <w:bCs/>
          <w:sz w:val="32"/>
          <w:szCs w:val="32"/>
        </w:rPr>
        <w:t>此项</w:t>
      </w:r>
      <w:r>
        <w:rPr>
          <w:rFonts w:hint="eastAsia" w:ascii="仿宋_GB2312" w:hAnsi="仿宋_GB2312" w:eastAsia="仿宋_GB2312"/>
          <w:sz w:val="32"/>
          <w:szCs w:val="32"/>
        </w:rPr>
        <w:t>累计不超过8分。</w:t>
      </w:r>
    </w:p>
    <w:p>
      <w:pPr>
        <w:pStyle w:val="25"/>
        <w:spacing w:line="620" w:lineRule="exact"/>
        <w:ind w:firstLine="636" w:firstLineChars="200"/>
        <w:rPr>
          <w:rFonts w:hint="eastAsia" w:ascii="仿宋_GB2312" w:hAnsi="仿宋_GB2312" w:eastAsia="仿宋_GB2312" w:cs="仿宋_GB2312"/>
          <w:sz w:val="32"/>
          <w:szCs w:val="32"/>
        </w:rPr>
      </w:pPr>
      <w:r>
        <w:rPr>
          <w:rFonts w:hint="eastAsia" w:ascii="仿宋_GB2312" w:hAnsi="Times New Roman" w:eastAsia="仿宋_GB2312" w:cs="Times New Roman"/>
          <w:b/>
          <w:sz w:val="32"/>
          <w:szCs w:val="32"/>
        </w:rPr>
        <w:t>2.数据申报表现。</w:t>
      </w:r>
      <w:r>
        <w:rPr>
          <w:rFonts w:hint="eastAsia" w:ascii="仿宋_GB2312" w:hAnsi="Times New Roman" w:eastAsia="仿宋_GB2312" w:cs="Times New Roman"/>
          <w:sz w:val="32"/>
          <w:szCs w:val="32"/>
        </w:rPr>
        <w:t>企业在福建省外贸运行监测分析系统上的年度填报情况。申报日期前的12个月内，每填报1次定期问卷得0.2分，</w:t>
      </w:r>
      <w:r>
        <w:rPr>
          <w:rFonts w:hint="eastAsia" w:ascii="仿宋_GB2312" w:eastAsia="仿宋_GB2312"/>
          <w:bCs/>
          <w:sz w:val="32"/>
          <w:szCs w:val="32"/>
        </w:rPr>
        <w:t>此项</w:t>
      </w:r>
      <w:r>
        <w:rPr>
          <w:rFonts w:hint="eastAsia" w:ascii="仿宋_GB2312" w:hAnsi="Times New Roman" w:eastAsia="仿宋_GB2312" w:cs="Times New Roman"/>
          <w:sz w:val="32"/>
          <w:szCs w:val="32"/>
        </w:rPr>
        <w:t>累计不超过2分</w:t>
      </w:r>
      <w:r>
        <w:rPr>
          <w:rFonts w:hint="eastAsia" w:ascii="仿宋_GB2312" w:hAnsi="仿宋_GB2312" w:eastAsia="仿宋_GB2312" w:cs="仿宋_GB2312"/>
          <w:sz w:val="32"/>
          <w:szCs w:val="32"/>
        </w:rPr>
        <w:t>。</w:t>
      </w:r>
    </w:p>
    <w:p>
      <w:pPr>
        <w:pStyle w:val="5"/>
        <w:widowControl/>
        <w:spacing w:before="0" w:beforeAutospacing="0" w:after="0" w:afterAutospacing="0" w:line="620" w:lineRule="exact"/>
        <w:ind w:firstLine="601"/>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以上社会评价均须提供真实、有效的佐证材料。</w:t>
      </w:r>
    </w:p>
    <w:p>
      <w:pPr>
        <w:pStyle w:val="5"/>
        <w:widowControl/>
        <w:spacing w:before="0" w:beforeAutospacing="0" w:after="0" w:afterAutospacing="0" w:line="620" w:lineRule="exact"/>
        <w:ind w:firstLine="640"/>
        <w:jc w:val="both"/>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四、申报商品类别</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申报商品类别分为六大类，具体如下：</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rPr>
      </w:pPr>
      <w:bookmarkStart w:id="3" w:name="OLE_LINK4"/>
      <w:r>
        <w:rPr>
          <w:rFonts w:hint="eastAsia" w:ascii="仿宋_GB2312" w:hAnsi="仿宋_GB2312" w:eastAsia="仿宋_GB2312" w:cs="仿宋_GB2312"/>
          <w:sz w:val="32"/>
          <w:szCs w:val="32"/>
          <w:shd w:val="clear" w:color="auto" w:fill="FFFFFF"/>
        </w:rPr>
        <w:t>（一）机电类，包括电子信息、节能灯具、装备制造、电机、家用电器、汽车配件等产业。</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（二）纺织服装类，包括纺织、服装等产业。</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（三）轻工工艺类，包括文具、家具、装饰品、陶瓷树脂、箱包、伞、鞋、钟表、日用杂项等产业。</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（四）五矿化工类，包括五矿、建材冶金、化工等产业。</w:t>
      </w:r>
    </w:p>
    <w:p>
      <w:pPr>
        <w:pStyle w:val="5"/>
        <w:widowControl/>
        <w:spacing w:before="0" w:beforeAutospacing="0" w:after="0" w:afterAutospacing="0" w:line="620" w:lineRule="exact"/>
        <w:ind w:firstLine="63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（五）医药保健类。</w:t>
      </w:r>
    </w:p>
    <w:p>
      <w:pPr>
        <w:pStyle w:val="5"/>
        <w:widowControl/>
        <w:spacing w:before="0" w:beforeAutospacing="0" w:after="0" w:afterAutospacing="0" w:line="620" w:lineRule="exact"/>
        <w:ind w:firstLine="640"/>
        <w:jc w:val="both"/>
      </w:pPr>
      <w:r>
        <w:rPr>
          <w:rFonts w:hint="eastAsia" w:ascii="仿宋_GB2312" w:hAnsi="仿宋_GB2312" w:eastAsia="仿宋_GB2312" w:cs="仿宋_GB2312"/>
          <w:sz w:val="32"/>
          <w:szCs w:val="32"/>
          <w:shd w:val="clear" w:color="auto" w:fill="FFFFFF"/>
        </w:rPr>
        <w:t>（六）食品土畜类，包括水产品、其它食品等产业。</w:t>
      </w:r>
    </w:p>
    <w:bookmarkEnd w:id="3"/>
    <w:p>
      <w:pPr>
        <w:pStyle w:val="5"/>
        <w:widowControl/>
        <w:spacing w:before="0" w:beforeAutospacing="0" w:after="0" w:afterAutospacing="0" w:line="620" w:lineRule="exact"/>
        <w:ind w:firstLine="640"/>
        <w:jc w:val="both"/>
        <w:rPr>
          <w:rFonts w:hint="eastAsia" w:ascii="仿宋_GB2312" w:hAnsi="仿宋_GB2312" w:eastAsia="黑体" w:cs="仿宋_GB2312"/>
          <w:sz w:val="32"/>
          <w:szCs w:val="32"/>
        </w:rPr>
      </w:pPr>
      <w:r>
        <w:rPr>
          <w:rFonts w:hint="eastAsia" w:ascii="黑体" w:hAnsi="黑体" w:eastAsia="黑体" w:cs="黑体"/>
          <w:sz w:val="32"/>
          <w:szCs w:val="32"/>
          <w:shd w:val="clear" w:color="auto" w:fill="FFFFFF"/>
        </w:rPr>
        <w:t>五、申报材料</w:t>
      </w:r>
    </w:p>
    <w:p>
      <w:pPr>
        <w:pStyle w:val="5"/>
        <w:widowControl/>
        <w:spacing w:before="0" w:beforeAutospacing="0" w:after="0" w:afterAutospacing="0" w:line="620" w:lineRule="exact"/>
        <w:ind w:firstLine="636" w:firstLineChars="200"/>
        <w:jc w:val="both"/>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bCs/>
          <w:sz w:val="32"/>
          <w:szCs w:val="32"/>
          <w:shd w:val="clear" w:color="auto" w:fill="FFFFFF"/>
        </w:rPr>
        <w:t>（一）总体要求</w:t>
      </w:r>
    </w:p>
    <w:p>
      <w:pPr>
        <w:pStyle w:val="5"/>
        <w:widowControl/>
        <w:spacing w:before="0" w:beforeAutospacing="0" w:after="0" w:afterAutospacing="0" w:line="620" w:lineRule="exact"/>
        <w:ind w:firstLine="636"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1.所有申报材料上的企业名称应与申请企业或所涉母子关系企业名称完全一致,各项证书的所有人应为该申请企业或所涉母子关系企业（含法定代表人、股东），否则将被视为无关材料。</w:t>
      </w:r>
    </w:p>
    <w:p>
      <w:pPr>
        <w:pStyle w:val="5"/>
        <w:widowControl/>
        <w:spacing w:before="0" w:beforeAutospacing="0" w:after="0" w:afterAutospacing="0" w:line="620" w:lineRule="exact"/>
        <w:ind w:firstLine="636"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各项相关资质证明材料在申报时须在有效期内；仍在注册或申报相关资质、商标、认证等过程中的或已过期的申请材料均被视为无效材料。</w:t>
      </w:r>
    </w:p>
    <w:p>
      <w:pPr>
        <w:pStyle w:val="5"/>
        <w:widowControl/>
        <w:spacing w:before="0" w:beforeAutospacing="0" w:after="0" w:afterAutospacing="0" w:line="620" w:lineRule="exact"/>
        <w:ind w:firstLine="636"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3.提供非英语的外文材料的，须同时提供中文译本。</w:t>
      </w:r>
    </w:p>
    <w:p>
      <w:pPr>
        <w:pStyle w:val="5"/>
        <w:widowControl/>
        <w:spacing w:before="0" w:beforeAutospacing="0" w:after="0" w:afterAutospacing="0" w:line="620" w:lineRule="exact"/>
        <w:ind w:firstLine="636"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企业在申报“福建省重点培育和发展的国际知名品牌”时应提供书面材料（须盖公章、骑缝章）和电子文件（刻光盘），并按照顺序制作目录、标明页码、装订成册。书面材料一式两份，提供复印件的材料原件备查。</w:t>
      </w:r>
    </w:p>
    <w:p>
      <w:pPr>
        <w:pStyle w:val="5"/>
        <w:widowControl/>
        <w:spacing w:before="0" w:beforeAutospacing="0" w:after="0" w:afterAutospacing="0" w:line="620" w:lineRule="exact"/>
        <w:ind w:firstLine="640"/>
        <w:jc w:val="both"/>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（二）企业申请材料</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rPr>
        <w:t>福建省重点培育和发展的国际知名品牌申请表。</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2.企业法人营业执照、海关进出口货物收发货人报关注册登记证书。</w:t>
      </w:r>
    </w:p>
    <w:p>
      <w:pPr>
        <w:pStyle w:val="5"/>
        <w:widowControl/>
        <w:spacing w:before="0" w:beforeAutospacing="0" w:after="0" w:afterAutospacing="0" w:line="620" w:lineRule="exact"/>
        <w:ind w:firstLine="636"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3.2023-2025年出口额和税务部门开具的纳税证明（含增值税申报表）。出口额以申请企业提交的</w:t>
      </w:r>
      <w:bookmarkStart w:id="4" w:name="OLE_LINK1"/>
      <w:r>
        <w:rPr>
          <w:rFonts w:hint="eastAsia" w:ascii="仿宋_GB2312" w:hAnsi="仿宋_GB2312" w:eastAsia="仿宋_GB2312" w:cs="仿宋_GB2312"/>
          <w:sz w:val="32"/>
          <w:szCs w:val="32"/>
          <w:shd w:val="clear" w:color="auto" w:fill="FFFFFF"/>
        </w:rPr>
        <w:t>海关注册登记编码</w:t>
      </w:r>
      <w:bookmarkEnd w:id="4"/>
      <w:r>
        <w:rPr>
          <w:rFonts w:hint="eastAsia" w:ascii="仿宋_GB2312" w:hAnsi="仿宋_GB2312" w:eastAsia="仿宋_GB2312" w:cs="仿宋_GB2312"/>
          <w:sz w:val="32"/>
          <w:szCs w:val="32"/>
          <w:shd w:val="clear" w:color="auto" w:fill="FFFFFF"/>
        </w:rPr>
        <w:t>进行统计。申请企业，包括本办法认定的母（子）关系企业，存在多个海关注册登记编码的，请在申请时一并提交，未提交的海关注册登记编码项下出口数据不予认定。</w:t>
      </w:r>
    </w:p>
    <w:p>
      <w:pPr>
        <w:pStyle w:val="5"/>
        <w:widowControl/>
        <w:spacing w:before="0" w:beforeAutospacing="0" w:after="0" w:afterAutospacing="0"/>
        <w:ind w:firstLine="636"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有效期内的专利证书（包括转化运用证明材料）和版权证明材料，须提供查询网址及有效页面截图，或当年交年费发票等。如专利权人、版权人为自然人，且该名自然人为申请企业的法定代表人或绝对、相对控股股东，视同有效。</w:t>
      </w:r>
    </w:p>
    <w:p>
      <w:pPr>
        <w:pStyle w:val="5"/>
        <w:widowControl/>
        <w:spacing w:before="0" w:beforeAutospacing="0" w:after="0" w:afterAutospacing="0"/>
        <w:ind w:firstLine="636"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5.国家认定的研发创新类企业证明材料。</w:t>
      </w:r>
    </w:p>
    <w:p>
      <w:pPr>
        <w:pStyle w:val="5"/>
        <w:widowControl/>
        <w:spacing w:before="0" w:beforeAutospacing="0" w:after="0" w:afterAutospacing="0" w:line="620" w:lineRule="exact"/>
        <w:ind w:firstLine="636"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6.参与国家标准或行业标准制定或修订的证明材料，须由国家级相关机构提供。如参与国家标准或行业标准制定或修订者为自然人，且该名自然人为申请企业的法定代表人或绝对、相对控股股东，视同有效。</w:t>
      </w:r>
    </w:p>
    <w:p>
      <w:pPr>
        <w:pStyle w:val="5"/>
        <w:widowControl/>
        <w:spacing w:before="0" w:beforeAutospacing="0" w:after="0" w:afterAutospacing="0" w:line="620" w:lineRule="exact"/>
        <w:ind w:firstLine="636"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7.申请企业获得的本办法清单内的有效国际通行认证证书，包括质量管理体系、环境管理体系或行业认证等。须提供认证查询路径，非英语的外文认证证书须提供中文译本。</w:t>
      </w:r>
    </w:p>
    <w:p>
      <w:pPr>
        <w:pStyle w:val="5"/>
        <w:widowControl/>
        <w:spacing w:before="0" w:beforeAutospacing="0" w:after="0" w:afterAutospacing="0" w:line="620" w:lineRule="exact"/>
        <w:ind w:firstLine="636"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8.进入商务部认定的国家/省级外贸转型升级基地且主营业务须与该基地特色产业相一致的，须提供证明材料。证明中的公司名称须与品牌申请企业一致。</w:t>
      </w:r>
    </w:p>
    <w:p>
      <w:pPr>
        <w:pStyle w:val="5"/>
        <w:widowControl/>
        <w:spacing w:before="0" w:beforeAutospacing="0" w:after="0" w:afterAutospacing="0"/>
        <w:ind w:firstLine="636" w:firstLineChars="200"/>
        <w:rPr>
          <w:rFonts w:eastAsia="仿宋_GB2312"/>
          <w:sz w:val="32"/>
          <w:szCs w:val="32"/>
        </w:rPr>
      </w:pPr>
      <w:r>
        <w:rPr>
          <w:rFonts w:hint="eastAsia" w:ascii="仿宋_GB2312" w:hAnsi="仿宋_GB2312" w:eastAsia="仿宋_GB2312" w:cs="仿宋_GB2312"/>
          <w:sz w:val="32"/>
          <w:szCs w:val="32"/>
          <w:shd w:val="clear" w:color="auto" w:fill="FFFFFF"/>
        </w:rPr>
        <w:t>9.已建设国际营销服务体系，包括设立境外分支机构、零售网点、批发展示中心、售后维修网点、海外仓等证明材料</w:t>
      </w:r>
      <w:r>
        <w:rPr>
          <w:rFonts w:hint="eastAsia" w:eastAsia="仿宋_GB2312"/>
          <w:sz w:val="32"/>
          <w:szCs w:val="32"/>
        </w:rPr>
        <w:t>（</w:t>
      </w:r>
      <w:bookmarkStart w:id="5" w:name="OLE_LINK6"/>
      <w:r>
        <w:rPr>
          <w:rFonts w:hint="eastAsia" w:eastAsia="仿宋_GB2312"/>
          <w:sz w:val="32"/>
          <w:szCs w:val="32"/>
        </w:rPr>
        <w:t>只认可政府部门的备案等证明</w:t>
      </w:r>
      <w:bookmarkEnd w:id="5"/>
      <w:r>
        <w:rPr>
          <w:rFonts w:hint="eastAsia" w:eastAsia="仿宋_GB2312"/>
          <w:sz w:val="32"/>
          <w:szCs w:val="32"/>
        </w:rPr>
        <w:t>）。</w:t>
      </w:r>
    </w:p>
    <w:p>
      <w:pPr>
        <w:pStyle w:val="25"/>
        <w:spacing w:line="620" w:lineRule="exact"/>
        <w:ind w:firstLine="636"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10.参</w:t>
      </w:r>
      <w:r>
        <w:rPr>
          <w:rFonts w:hint="eastAsia" w:ascii="Times New Roman" w:hAnsi="Times New Roman" w:eastAsia="仿宋_GB2312" w:cs="Times New Roman"/>
          <w:sz w:val="32"/>
          <w:szCs w:val="32"/>
        </w:rPr>
        <w:t>加省政府组织的重要境外经贸活动的须提供邀请函等证明材料；参加商务部或中国六大行业商协会主办或支持参加的境外展会、“福品销全球”项目清单内的境外展会的，须提供所参加境外展会的时间、参展证明（如展位确认书、大会参展商名录等）和展位费发票（发票中的公司名称须与品牌申请企业一致）等材料。</w:t>
      </w:r>
    </w:p>
    <w:p>
      <w:pPr>
        <w:pStyle w:val="25"/>
        <w:spacing w:line="620" w:lineRule="exact"/>
        <w:ind w:firstLine="636"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shd w:val="clear" w:color="auto" w:fill="FFFFFF"/>
          <w:lang w:bidi="ar"/>
        </w:rPr>
        <w:t>11.</w:t>
      </w:r>
      <w:bookmarkStart w:id="6" w:name="OLE_LINK2"/>
      <w:r>
        <w:rPr>
          <w:rFonts w:hint="eastAsia" w:ascii="仿宋_GB2312" w:hAnsi="仿宋_GB2312" w:eastAsia="仿宋_GB2312" w:cs="仿宋_GB2312"/>
          <w:sz w:val="32"/>
          <w:szCs w:val="32"/>
          <w:shd w:val="clear" w:color="auto" w:fill="FFFFFF"/>
          <w:lang w:bidi="ar"/>
        </w:rPr>
        <w:t>省级</w:t>
      </w:r>
      <w:r>
        <w:rPr>
          <w:rFonts w:hint="eastAsia" w:eastAsia="仿宋_GB2312"/>
          <w:sz w:val="32"/>
          <w:szCs w:val="32"/>
        </w:rPr>
        <w:t>（含）以上行业商协会或权威机构出具的</w:t>
      </w:r>
      <w:r>
        <w:rPr>
          <w:rFonts w:hint="eastAsia" w:ascii="Times New Roman" w:hAnsi="Times New Roman" w:eastAsia="仿宋_GB2312"/>
          <w:sz w:val="32"/>
          <w:szCs w:val="32"/>
        </w:rPr>
        <w:t>有效证明，体现</w:t>
      </w:r>
      <w:r>
        <w:rPr>
          <w:rFonts w:hint="eastAsia" w:ascii="Times New Roman" w:hAnsi="Times New Roman" w:eastAsia="仿宋_GB2312" w:cs="Times New Roman"/>
          <w:sz w:val="32"/>
          <w:szCs w:val="32"/>
        </w:rPr>
        <w:t>申报商品在国内、国际市场的占有率及排名情况，或其国际市场销售额在行业内的排名情况。</w:t>
      </w:r>
    </w:p>
    <w:bookmarkEnd w:id="6"/>
    <w:p>
      <w:pPr>
        <w:pStyle w:val="5"/>
        <w:spacing w:before="0" w:beforeAutospacing="0" w:after="0" w:afterAutospacing="0" w:line="620" w:lineRule="exact"/>
        <w:ind w:firstLine="636" w:firstLineChars="200"/>
        <w:rPr>
          <w:rFonts w:eastAsia="仿宋_GB2312"/>
          <w:sz w:val="32"/>
          <w:szCs w:val="32"/>
        </w:rPr>
      </w:pPr>
      <w:r>
        <w:rPr>
          <w:rFonts w:hint="eastAsia" w:ascii="仿宋_GB2312" w:hAnsi="仿宋_GB2312" w:eastAsia="仿宋_GB2312" w:cs="仿宋_GB2312"/>
          <w:sz w:val="32"/>
          <w:szCs w:val="32"/>
          <w:shd w:val="clear" w:color="auto" w:fill="FFFFFF"/>
        </w:rPr>
        <w:t>12.境内外商标注册证明及知识产权海关备案情况；商标注册范围（核定使用商品）涵盖申报类别商品，属商标转让的，应提交有关证明材料；收购境外品牌相关证明材料（如境外投资批准证书、外管局备案登记表、收购合同、商标注册证书、付汇凭证、发票等）。除台湾、香港和澳门三地以外，申请企业提交的其他非英语国家和地区的境外注册商标证书，应同时提供中文译本。</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13.获得中</w:t>
      </w:r>
      <w:r>
        <w:rPr>
          <w:rFonts w:hint="eastAsia" w:ascii="仿宋_GB2312" w:hAnsi="仿宋_GB2312" w:eastAsia="仿宋_GB2312"/>
          <w:sz w:val="32"/>
          <w:szCs w:val="32"/>
        </w:rPr>
        <w:t>国质量奖、福建省政府质量奖</w:t>
      </w:r>
      <w:r>
        <w:rPr>
          <w:rFonts w:hint="eastAsia" w:ascii="仿宋_GB2312" w:hAnsi="仿宋_GB2312" w:eastAsia="仿宋_GB2312"/>
          <w:bCs/>
          <w:sz w:val="32"/>
          <w:szCs w:val="32"/>
        </w:rPr>
        <w:t>（均包括提名）</w:t>
      </w:r>
      <w:r>
        <w:rPr>
          <w:rFonts w:hint="eastAsia" w:ascii="仿宋_GB2312" w:hAnsi="仿宋_GB2312" w:eastAsia="仿宋_GB2312"/>
          <w:sz w:val="32"/>
          <w:szCs w:val="32"/>
        </w:rPr>
        <w:t>等荣誉</w:t>
      </w:r>
      <w:r>
        <w:rPr>
          <w:rFonts w:hint="eastAsia" w:ascii="仿宋_GB2312" w:hAnsi="仿宋_GB2312" w:eastAsia="仿宋_GB2312" w:cs="仿宋_GB2312"/>
          <w:sz w:val="32"/>
          <w:szCs w:val="32"/>
          <w:shd w:val="clear" w:color="auto" w:fill="FFFFFF"/>
        </w:rPr>
        <w:t>的证书或文件。</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14.获得进出口行业企业信用等级评价AAA级企业、AA级企业、A级企业等称号的证明材料。</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15.获得由福州海关、厦门海关评定的海关AEO认证企业证明材料。</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16.获得由工信、农业农村、林业等部门评定的省级及以上行业龙头企业证明材料。</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17.以母（子）公司资质参评的，须提供母（子）公司关系证明文件以及具有法律效力的、经授权方法人代表签字并加盖公章的同意参评的授权书。</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rPr>
        <w:t>六、评审内控机制</w:t>
      </w:r>
    </w:p>
    <w:p>
      <w:pPr>
        <w:pStyle w:val="5"/>
        <w:widowControl/>
        <w:spacing w:before="0" w:beforeAutospacing="0" w:after="0" w:afterAutospacing="0" w:line="620" w:lineRule="exact"/>
        <w:ind w:firstLine="63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（一）组织申报。</w:t>
      </w:r>
      <w:r>
        <w:rPr>
          <w:rFonts w:hint="eastAsia" w:ascii="仿宋_GB2312" w:hAnsi="仿宋_GB2312" w:eastAsia="仿宋_GB2312" w:cs="仿宋_GB2312"/>
          <w:sz w:val="32"/>
          <w:szCs w:val="32"/>
          <w:shd w:val="clear" w:color="auto" w:fill="FFFFFF"/>
        </w:rPr>
        <w:t>申请“福建省重点培育和发展的国际知名品牌”的企业，按照资格条件和评审标准，向各设区市商务部门提交有关申报材料。</w:t>
      </w:r>
    </w:p>
    <w:p>
      <w:pPr>
        <w:pStyle w:val="21"/>
        <w:spacing w:line="620" w:lineRule="exact"/>
        <w:ind w:firstLine="636" w:firstLineChars="200"/>
        <w:rPr>
          <w:rFonts w:hint="eastAsia" w:ascii="仿宋_GB2312" w:hAnsi="仿宋_GB2312" w:eastAsia="仿宋_GB2312"/>
          <w:sz w:val="32"/>
          <w:szCs w:val="32"/>
        </w:rPr>
      </w:pPr>
      <w:r>
        <w:rPr>
          <w:rFonts w:hint="eastAsia" w:ascii="仿宋_GB2312" w:hAnsi="仿宋_GB2312" w:eastAsia="仿宋_GB2312" w:cs="仿宋_GB2312"/>
          <w:b/>
          <w:bCs/>
          <w:kern w:val="0"/>
          <w:sz w:val="32"/>
          <w:szCs w:val="32"/>
          <w:shd w:val="clear" w:color="auto" w:fill="FFFFFF"/>
          <w:lang w:bidi="ar"/>
        </w:rPr>
        <w:t>（二）初审评审。</w:t>
      </w:r>
      <w:r>
        <w:rPr>
          <w:rFonts w:hint="eastAsia" w:ascii="仿宋_GB2312" w:hAnsi="仿宋_GB2312" w:eastAsia="仿宋_GB2312"/>
          <w:sz w:val="32"/>
          <w:szCs w:val="32"/>
        </w:rPr>
        <w:t>各设区市商务主管部门对材料进行初审、分类汇总，填写《初审合格企业评分情况汇总表》连同企业申报材料报送商务厅。商务厅对各设区市商务主管部门上报的材料按规定流程通过购买服务方式委托第三方机构进行评审，计算得分得出初步结果。</w:t>
      </w:r>
    </w:p>
    <w:p>
      <w:pPr>
        <w:pStyle w:val="21"/>
        <w:spacing w:line="620" w:lineRule="exact"/>
        <w:ind w:firstLine="636" w:firstLineChars="200"/>
        <w:rPr>
          <w:rFonts w:eastAsia="仿宋_GB2312"/>
          <w:sz w:val="32"/>
          <w:szCs w:val="32"/>
        </w:rPr>
      </w:pPr>
      <w:r>
        <w:rPr>
          <w:rFonts w:hint="eastAsia" w:ascii="仿宋_GB2312" w:hAnsi="仿宋_GB2312" w:eastAsia="仿宋_GB2312" w:cs="仿宋_GB2312"/>
          <w:b/>
          <w:bCs/>
          <w:kern w:val="0"/>
          <w:sz w:val="32"/>
          <w:szCs w:val="32"/>
          <w:shd w:val="clear" w:color="auto" w:fill="FFFFFF"/>
          <w:lang w:bidi="ar"/>
        </w:rPr>
        <w:t>（三）审核审批。</w:t>
      </w:r>
      <w:r>
        <w:rPr>
          <w:rFonts w:hint="eastAsia" w:eastAsia="仿宋_GB2312"/>
          <w:sz w:val="32"/>
          <w:szCs w:val="32"/>
        </w:rPr>
        <w:t>商务厅外贸处牵头成立审核小组，并</w:t>
      </w:r>
      <w:r>
        <w:rPr>
          <w:rFonts w:hint="eastAsia" w:ascii="仿宋_GB2312" w:hAnsi="仿宋_GB2312" w:eastAsia="仿宋_GB2312"/>
          <w:sz w:val="32"/>
          <w:szCs w:val="32"/>
        </w:rPr>
        <w:t>根据评审初步结果进行审核，综合考虑产业特点、地区差别、企业类型等因素及</w:t>
      </w:r>
      <w:r>
        <w:rPr>
          <w:rFonts w:hint="eastAsia" w:ascii="仿宋_GB2312" w:hAnsi="仿宋_GB2312" w:eastAsia="仿宋_GB2312"/>
          <w:sz w:val="32"/>
          <w:szCs w:val="32"/>
          <w:lang w:eastAsia="zh-CN"/>
        </w:rPr>
        <w:t>六</w:t>
      </w:r>
      <w:r>
        <w:rPr>
          <w:rFonts w:hint="eastAsia" w:ascii="仿宋_GB2312" w:hAnsi="仿宋_GB2312" w:eastAsia="仿宋_GB2312"/>
          <w:sz w:val="32"/>
          <w:szCs w:val="32"/>
        </w:rPr>
        <w:t>个类别企业情况，初步确定入围分数线，提出“</w:t>
      </w:r>
      <w:bookmarkStart w:id="7" w:name="OLE_LINK5"/>
      <w:r>
        <w:rPr>
          <w:rFonts w:hint="eastAsia" w:ascii="仿宋_GB2312" w:hAnsi="仿宋_GB2312" w:eastAsia="仿宋_GB2312"/>
          <w:sz w:val="32"/>
          <w:szCs w:val="32"/>
        </w:rPr>
        <w:t>2026-2028年度</w:t>
      </w:r>
      <w:bookmarkEnd w:id="7"/>
      <w:r>
        <w:rPr>
          <w:rFonts w:hint="eastAsia" w:ascii="仿宋_GB2312" w:hAnsi="仿宋_GB2312" w:eastAsia="仿宋_GB2312"/>
          <w:sz w:val="32"/>
          <w:szCs w:val="32"/>
        </w:rPr>
        <w:t>福建省重点培育和发展的国际知名品牌</w:t>
      </w:r>
      <w:r>
        <w:rPr>
          <w:rFonts w:hint="eastAsia" w:eastAsia="仿宋_GB2312"/>
          <w:sz w:val="32"/>
          <w:szCs w:val="32"/>
        </w:rPr>
        <w:t>”初步入选名单；经审核小组集体审核，确定入选名单，并按规定流程报批审定，确认公示名单。</w:t>
      </w:r>
    </w:p>
    <w:p>
      <w:pPr>
        <w:pStyle w:val="5"/>
        <w:widowControl/>
        <w:spacing w:before="0" w:beforeAutospacing="0" w:after="0" w:afterAutospacing="0" w:line="620" w:lineRule="exact"/>
        <w:ind w:firstLine="640"/>
        <w:jc w:val="both"/>
        <w:rPr>
          <w:rFonts w:eastAsia="仿宋_GB2312"/>
          <w:sz w:val="32"/>
          <w:szCs w:val="32"/>
        </w:rPr>
      </w:pPr>
      <w:r>
        <w:rPr>
          <w:rFonts w:hint="eastAsia" w:ascii="仿宋_GB2312" w:hAnsi="仿宋_GB2312" w:eastAsia="仿宋_GB2312" w:cs="仿宋_GB2312"/>
          <w:b/>
          <w:bCs/>
          <w:sz w:val="32"/>
          <w:szCs w:val="32"/>
          <w:shd w:val="clear" w:color="auto" w:fill="FFFFFF"/>
          <w:lang w:bidi="ar"/>
        </w:rPr>
        <w:t>（四）公示发布。</w:t>
      </w:r>
      <w:r>
        <w:rPr>
          <w:rFonts w:hint="eastAsia" w:eastAsia="仿宋_GB2312"/>
          <w:sz w:val="32"/>
          <w:szCs w:val="32"/>
        </w:rPr>
        <w:t>通过“福建省商务厅”官网公示入选名单，</w:t>
      </w:r>
      <w:r>
        <w:rPr>
          <w:rFonts w:hint="eastAsia" w:ascii="仿宋_GB2312" w:hAnsi="仿宋_GB2312" w:eastAsia="仿宋_GB2312"/>
          <w:sz w:val="32"/>
          <w:szCs w:val="32"/>
        </w:rPr>
        <w:t>经对外公示期满无异议，</w:t>
      </w:r>
      <w:r>
        <w:rPr>
          <w:rFonts w:hint="eastAsia" w:eastAsia="仿宋_GB2312"/>
          <w:sz w:val="32"/>
          <w:szCs w:val="32"/>
        </w:rPr>
        <w:t>正式发布“</w:t>
      </w:r>
      <w:r>
        <w:rPr>
          <w:rFonts w:hint="eastAsia" w:ascii="仿宋_GB2312" w:hAnsi="仿宋_GB2312" w:eastAsia="仿宋_GB2312"/>
          <w:sz w:val="32"/>
          <w:szCs w:val="32"/>
        </w:rPr>
        <w:t>2026-2028年度</w:t>
      </w:r>
      <w:r>
        <w:rPr>
          <w:rFonts w:hint="eastAsia" w:eastAsia="仿宋_GB2312"/>
          <w:sz w:val="32"/>
          <w:szCs w:val="32"/>
        </w:rPr>
        <w:t>福建省重点培育和发展的国际知名品牌”名单。</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lang w:eastAsia="zh-CN"/>
        </w:rPr>
        <w:t>七</w:t>
      </w:r>
      <w:r>
        <w:rPr>
          <w:rFonts w:hint="eastAsia" w:ascii="黑体" w:hAnsi="黑体" w:eastAsia="黑体" w:cs="黑体"/>
          <w:sz w:val="32"/>
          <w:szCs w:val="32"/>
          <w:shd w:val="clear" w:color="auto" w:fill="FFFFFF"/>
        </w:rPr>
        <w:t>、监督管理</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（一）企业所提交的申报材料应真实准确，若发现提供虚假材料的，将予以通报，并取消本届及下一届评选资格。</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企业发生更名或与培育条件有关的重大变化（如分立、合并、重组以及经营业务发生变化等）应在3个月内向省商务厅报告。经审核符合条件的，其“福建省重点培育和发展的国际知名品牌”评选结果不变；不符合条件的，自更名或条件变化年度起取消其评选结果。</w:t>
      </w:r>
    </w:p>
    <w:p>
      <w:pPr>
        <w:pStyle w:val="5"/>
        <w:widowControl/>
        <w:spacing w:before="0" w:beforeAutospacing="0" w:after="0" w:afterAutospacing="0" w:line="620" w:lineRule="exact"/>
        <w:ind w:firstLine="63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（三）“福建省重点培育和发展的国际知名品牌”实行三年一评制，入选有效期三年，期间开展动态管理。入选企业须于每年</w:t>
      </w:r>
      <w:r>
        <w:rPr>
          <w:rFonts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shd w:val="clear" w:color="auto" w:fill="FFFFFF"/>
        </w:rPr>
        <w:t>月</w:t>
      </w:r>
      <w:r>
        <w:rPr>
          <w:rFonts w:ascii="仿宋_GB2312" w:hAnsi="仿宋_GB2312" w:eastAsia="仿宋_GB2312" w:cs="仿宋_GB2312"/>
          <w:sz w:val="32"/>
          <w:szCs w:val="32"/>
          <w:shd w:val="clear" w:color="auto" w:fill="FFFFFF"/>
        </w:rPr>
        <w:t>31</w:t>
      </w:r>
      <w:r>
        <w:rPr>
          <w:rFonts w:hint="eastAsia" w:ascii="仿宋_GB2312" w:hAnsi="仿宋_GB2312" w:eastAsia="仿宋_GB2312" w:cs="仿宋_GB2312"/>
          <w:sz w:val="32"/>
          <w:szCs w:val="32"/>
          <w:shd w:val="clear" w:color="auto" w:fill="FFFFFF"/>
        </w:rPr>
        <w:t>日前向商务厅提交上一年度品牌建设工作总结（含自主品牌建设和推广情况、国际市场销售情况及趋势预测、国际市场开拓情况等）。</w:t>
      </w:r>
    </w:p>
    <w:p>
      <w:pPr>
        <w:pStyle w:val="5"/>
        <w:widowControl/>
        <w:spacing w:before="0" w:beforeAutospacing="0" w:after="0" w:afterAutospacing="0" w:line="62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为保持品牌的先进性和代表性，商务厅将会同省有关部门加强监督管理。已入选“福建省重点培育和发展的国际知名品牌”的企业发生较大质量、安全、环保等责任事故；或有其他严重违反法律法规行为的，暂停或撤销其称号。</w:t>
      </w:r>
    </w:p>
    <w:p>
      <w:pPr>
        <w:pStyle w:val="5"/>
        <w:widowControl/>
        <w:spacing w:before="0" w:beforeAutospacing="0" w:after="0" w:afterAutospacing="0" w:line="620" w:lineRule="exact"/>
        <w:ind w:firstLine="636" w:firstLineChars="200"/>
        <w:jc w:val="both"/>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lang w:eastAsia="zh-CN"/>
        </w:rPr>
        <w:t>八</w:t>
      </w:r>
      <w:r>
        <w:rPr>
          <w:rFonts w:hint="eastAsia" w:ascii="黑体" w:hAnsi="黑体" w:eastAsia="黑体" w:cs="黑体"/>
          <w:sz w:val="32"/>
          <w:szCs w:val="32"/>
          <w:shd w:val="clear" w:color="auto" w:fill="FFFFFF"/>
        </w:rPr>
        <w:t>、附则</w:t>
      </w:r>
    </w:p>
    <w:p>
      <w:pPr>
        <w:pStyle w:val="5"/>
        <w:widowControl/>
        <w:spacing w:before="0" w:beforeAutospacing="0" w:after="0" w:afterAutospacing="0" w:line="620" w:lineRule="exact"/>
        <w:ind w:firstLine="636" w:firstLineChars="200"/>
        <w:jc w:val="both"/>
        <w:rPr>
          <w:rFonts w:hint="eastAsia" w:ascii="仿宋_GB2312" w:hAnsi="仿宋_GB2312" w:cs="仿宋_GB2312"/>
          <w:sz w:val="28"/>
          <w:szCs w:val="28"/>
        </w:rPr>
      </w:pPr>
      <w:r>
        <w:rPr>
          <w:rFonts w:hint="eastAsia" w:ascii="仿宋_GB2312" w:hAnsi="仿宋_GB2312" w:eastAsia="仿宋_GB2312" w:cs="仿宋_GB2312"/>
          <w:sz w:val="32"/>
          <w:szCs w:val="32"/>
          <w:shd w:val="clear" w:color="auto" w:fill="FFFFFF"/>
        </w:rPr>
        <w:t>本办法由福建省商务厅负责解释，自印发之日起实施，有效期3年。</w:t>
      </w:r>
      <w:r>
        <w:rPr>
          <w:rFonts w:ascii="仿宋_GB2312"/>
          <w:spacing w:val="-6"/>
        </w:rPr>
        <mc:AlternateContent>
          <mc:Choice Requires="wps">
            <w:drawing>
              <wp:anchor distT="0" distB="0" distL="114300" distR="114300" simplePos="0" relativeHeight="251659264" behindDoc="0" locked="0" layoutInCell="1" hidden="true" allowOverlap="1">
                <wp:simplePos x="0" y="0"/>
                <wp:positionH relativeFrom="margin">
                  <wp:posOffset>201930</wp:posOffset>
                </wp:positionH>
                <wp:positionV relativeFrom="page">
                  <wp:posOffset>9203055</wp:posOffset>
                </wp:positionV>
                <wp:extent cx="5250180" cy="635"/>
                <wp:effectExtent l="0" t="0" r="0" b="0"/>
                <wp:wrapTopAndBottom/>
                <wp:docPr id="11" name="文本框 11" hidden="true"/>
                <wp:cNvGraphicFramePr/>
                <a:graphic xmlns:a="http://schemas.openxmlformats.org/drawingml/2006/main">
                  <a:graphicData uri="http://schemas.microsoft.com/office/word/2010/wordprocessingShape">
                    <wps:wsp>
                      <wps:cNvSpPr txBox="true"/>
                      <wps:spPr>
                        <a:xfrm>
                          <a:off x="0" y="0"/>
                          <a:ext cx="5250180" cy="635"/>
                        </a:xfrm>
                        <a:prstGeom prst="rect">
                          <a:avLst/>
                        </a:prstGeom>
                        <a:noFill/>
                        <a:ln>
                          <a:noFill/>
                        </a:ln>
                        <a:effectLst/>
                      </wps:spPr>
                      <wps:txbx>
                        <w:txbxContent>
                          <w:p>
                            <w:pPr>
                              <w:pStyle w:val="24"/>
                              <w:spacing w:line="560" w:lineRule="exact"/>
                              <w:ind w:left="980" w:hanging="980"/>
                              <w:rPr>
                                <w:rFonts w:ascii="仿宋_GB2312"/>
                              </w:rPr>
                            </w:pPr>
                            <w:r>
                              <w:rPr>
                                <w:rFonts w:hint="eastAsia" w:ascii="仿宋_GB2312"/>
                                <w:kern w:val="0"/>
                                <w:sz w:val="28"/>
                                <w:szCs w:val="28"/>
                              </w:rPr>
                              <w:t>抄送：</w:t>
                            </w:r>
                          </w:p>
                          <w:p>
                            <w:pPr>
                              <w:pStyle w:val="24"/>
                              <w:spacing w:line="560" w:lineRule="exact"/>
                              <w:ind w:left="980"/>
                              <w:rPr>
                                <w:rFonts w:ascii="仿宋_GB2312"/>
                              </w:rPr>
                            </w:pPr>
                          </w:p>
                          <w:p>
                            <w:pPr>
                              <w:pStyle w:val="24"/>
                              <w:spacing w:line="560" w:lineRule="exact"/>
                              <w:ind w:left="980"/>
                              <w:rPr>
                                <w:rFonts w:ascii="仿宋_GB2312"/>
                              </w:rPr>
                            </w:pPr>
                          </w:p>
                        </w:txbxContent>
                      </wps:txbx>
                      <wps:bodyPr wrap="square" lIns="0" tIns="0" rIns="0" bIns="0" upright="true"/>
                    </wps:wsp>
                  </a:graphicData>
                </a:graphic>
              </wp:anchor>
            </w:drawing>
          </mc:Choice>
          <mc:Fallback>
            <w:pict>
              <v:shape id="_x0000_s1026" o:spid="_x0000_s1026" o:spt="202" type="#_x0000_t202" style="position:absolute;left:0pt;margin-left:15.9pt;margin-top:724.65pt;height:0.05pt;width:413.4pt;mso-position-horizontal-relative:margin;mso-position-vertical-relative:page;mso-wrap-distance-bottom:0pt;mso-wrap-distance-top:0pt;visibility:hidden;z-index:251659264;mso-width-relative:page;mso-height-relative:page;" filled="f" stroked="f" coordsize="21600,21600" o:gfxdata="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AQe7XO1gAAAAwBAAAPAAAAAAAAAAEAIAAAADgAAABkcnMvZG93&#10;bnJldi54bWxQSwECFAAUAAAACACHTuJAChGkxrMBAABTAwAADgAAAAAAAAABACAAAAA7AQAAZHJz&#10;L2Uyb0RvYy54bWxQSwUGAAAAAAYABgBZAQAAYAUAAAAA&#10;">
                <v:fill on="f" focussize="0,0"/>
                <v:stroke on="f"/>
                <v:imagedata o:title=""/>
                <o:lock v:ext="edit" aspectratio="f"/>
                <v:textbox inset="0mm,0mm,0mm,0mm">
                  <w:txbxContent>
                    <w:p>
                      <w:pPr>
                        <w:pStyle w:val="24"/>
                        <w:spacing w:line="560" w:lineRule="exact"/>
                        <w:ind w:left="980" w:hanging="980"/>
                        <w:rPr>
                          <w:rFonts w:ascii="仿宋_GB2312"/>
                        </w:rPr>
                      </w:pPr>
                      <w:r>
                        <w:rPr>
                          <w:rFonts w:hint="eastAsia" w:ascii="仿宋_GB2312"/>
                          <w:kern w:val="0"/>
                          <w:sz w:val="28"/>
                          <w:szCs w:val="28"/>
                        </w:rPr>
                        <w:t>抄送：</w:t>
                      </w:r>
                    </w:p>
                    <w:p>
                      <w:pPr>
                        <w:pStyle w:val="24"/>
                        <w:spacing w:line="560" w:lineRule="exact"/>
                        <w:ind w:left="980"/>
                        <w:rPr>
                          <w:rFonts w:ascii="仿宋_GB2312"/>
                        </w:rPr>
                      </w:pPr>
                    </w:p>
                    <w:p>
                      <w:pPr>
                        <w:pStyle w:val="24"/>
                        <w:spacing w:line="560" w:lineRule="exact"/>
                        <w:ind w:left="980"/>
                        <w:rPr>
                          <w:rFonts w:ascii="仿宋_GB2312"/>
                        </w:rPr>
                      </w:pPr>
                    </w:p>
                  </w:txbxContent>
                </v:textbox>
                <w10:wrap type="topAndBottom"/>
              </v:shape>
            </w:pict>
          </mc:Fallback>
        </mc:AlternateContent>
      </w:r>
      <w:r>
        <w:rPr>
          <w:rFonts w:hint="eastAsia" w:ascii="仿宋_GB2312" w:hAnsi="仿宋_GB2312"/>
        </w:rPr>
        <mc:AlternateContent>
          <mc:Choice Requires="wps">
            <w:drawing>
              <wp:anchor distT="0" distB="0" distL="114300" distR="114300" simplePos="0" relativeHeight="251660288" behindDoc="0" locked="1" layoutInCell="1" hidden="true" allowOverlap="1">
                <wp:simplePos x="0" y="0"/>
                <wp:positionH relativeFrom="column">
                  <wp:posOffset>5508625</wp:posOffset>
                </wp:positionH>
                <wp:positionV relativeFrom="page">
                  <wp:posOffset>9224010</wp:posOffset>
                </wp:positionV>
                <wp:extent cx="106680" cy="291465"/>
                <wp:effectExtent l="0" t="0" r="0" b="0"/>
                <wp:wrapNone/>
                <wp:docPr id="12" name="文本框 12" hidden="true"/>
                <wp:cNvGraphicFramePr/>
                <a:graphic xmlns:a="http://schemas.openxmlformats.org/drawingml/2006/main">
                  <a:graphicData uri="http://schemas.microsoft.com/office/word/2010/wordprocessingShape">
                    <wps:wsp>
                      <wps:cNvSpPr txBox="true"/>
                      <wps:spPr>
                        <a:xfrm>
                          <a:off x="0" y="0"/>
                          <a:ext cx="106680" cy="291465"/>
                        </a:xfrm>
                        <a:prstGeom prst="rect">
                          <a:avLst/>
                        </a:prstGeom>
                        <a:noFill/>
                        <a:ln>
                          <a:noFill/>
                        </a:ln>
                        <a:effectLst/>
                      </wps:spPr>
                      <wps:txbx>
                        <w:txbxContent>
                          <w:p/>
                        </w:txbxContent>
                      </wps:txbx>
                      <wps:bodyPr wrap="square" lIns="0" tIns="0" rIns="0" bIns="0" upright="true"/>
                    </wps:wsp>
                  </a:graphicData>
                </a:graphic>
              </wp:anchor>
            </w:drawing>
          </mc:Choice>
          <mc:Fallback>
            <w:pict>
              <v:shape id="_x0000_s1026" o:spid="_x0000_s1026" o:spt="202" type="#_x0000_t202" style="position:absolute;left:0pt;margin-left:433.75pt;margin-top:726.3pt;height:22.95pt;width:8.4pt;mso-position-vertical-relative:page;visibility:hidden;z-index:251660288;mso-width-relative:page;mso-height-relative:page;" filled="f" stroked="f" coordsize="21600,21600" o:gfxdata="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DP/CC3ZAAAADQEAAA8AAAAAAAAAAQAgAAAAOAAAAGRy&#10;cy9kb3ducmV2LnhtbFBLAQIUABQAAAAIAIdO4kDzpR+YtQEAAFUDAAAOAAAAAAAAAAEAIAAAAD4B&#10;AABkcnMvZTJvRG9jLnhtbFBLBQYAAAAABgAGAFkBAABlBQAAAAA=&#10;">
                <v:fill on="f" focussize="0,0"/>
                <v:stroke on="f"/>
                <v:imagedata o:title=""/>
                <o:lock v:ext="edit" aspectratio="f"/>
                <v:textbox inset="0mm,0mm,0mm,0mm">
                  <w:txbxContent>
                    <w:p/>
                  </w:txbxContent>
                </v:textbox>
                <w10:anchorlock/>
              </v:shape>
            </w:pict>
          </mc:Fallback>
        </mc:AlternateContent>
      </w:r>
    </w:p>
    <w:sectPr>
      <w:footerReference r:id="rId3" w:type="default"/>
      <w:pgSz w:w="11906" w:h="16838"/>
      <w:pgMar w:top="1984" w:right="1531" w:bottom="1814" w:left="1531" w:header="851" w:footer="1361" w:gutter="0"/>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Arial">
    <w:panose1 w:val="020B07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8"/>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VDuIW6gBAABCAwAADgAAAAAAAAABACAAAAA0AQAAZHJzL2Uyb0RvYy54bWxQSwUGAAAA&#10;AAYABgBZAQAATgUAAAAA&#10;">
              <v:fill on="f" focussize="0,0"/>
              <v:stroke on="f"/>
              <v:imagedata o:title=""/>
              <o:lock v:ext="edit" aspectratio="f"/>
              <v:textbox inset="0mm,0mm,0mm,0mm" style="mso-fit-shape-to-text:t;">
                <w:txbxContent>
                  <w:p>
                    <w:pPr>
                      <w:pStyle w:val="18"/>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NzRjNmQ5OGNhZTdiNjg2NmYzNzYxZDQwOTM4M2MifQ=="/>
  </w:docVars>
  <w:rsids>
    <w:rsidRoot w:val="003A4FFF"/>
    <w:rsid w:val="00024411"/>
    <w:rsid w:val="001167ED"/>
    <w:rsid w:val="00165FB5"/>
    <w:rsid w:val="00241DB2"/>
    <w:rsid w:val="002D10D8"/>
    <w:rsid w:val="003A4FFF"/>
    <w:rsid w:val="004810F7"/>
    <w:rsid w:val="004B0CA1"/>
    <w:rsid w:val="00517C76"/>
    <w:rsid w:val="0056033A"/>
    <w:rsid w:val="0056564A"/>
    <w:rsid w:val="005667D5"/>
    <w:rsid w:val="006B6509"/>
    <w:rsid w:val="00876A17"/>
    <w:rsid w:val="008F5E68"/>
    <w:rsid w:val="009673B0"/>
    <w:rsid w:val="00A22B42"/>
    <w:rsid w:val="00B811BD"/>
    <w:rsid w:val="00DB4CB2"/>
    <w:rsid w:val="00F863C6"/>
    <w:rsid w:val="010D656D"/>
    <w:rsid w:val="016147A4"/>
    <w:rsid w:val="016B1A90"/>
    <w:rsid w:val="019A4368"/>
    <w:rsid w:val="01BD21CA"/>
    <w:rsid w:val="01E04421"/>
    <w:rsid w:val="0201408F"/>
    <w:rsid w:val="02187493"/>
    <w:rsid w:val="02D24F8C"/>
    <w:rsid w:val="02F511C5"/>
    <w:rsid w:val="033C2D90"/>
    <w:rsid w:val="034F0E57"/>
    <w:rsid w:val="037D18D2"/>
    <w:rsid w:val="039D4FE2"/>
    <w:rsid w:val="03CB1772"/>
    <w:rsid w:val="03D50D3A"/>
    <w:rsid w:val="03E97AA8"/>
    <w:rsid w:val="04247A39"/>
    <w:rsid w:val="047730FF"/>
    <w:rsid w:val="04776F06"/>
    <w:rsid w:val="047F4757"/>
    <w:rsid w:val="04AD70C9"/>
    <w:rsid w:val="04B74646"/>
    <w:rsid w:val="05236B0D"/>
    <w:rsid w:val="0557742A"/>
    <w:rsid w:val="057E289C"/>
    <w:rsid w:val="05B60603"/>
    <w:rsid w:val="05C8180A"/>
    <w:rsid w:val="05F361D7"/>
    <w:rsid w:val="06442691"/>
    <w:rsid w:val="065164C6"/>
    <w:rsid w:val="06777A5B"/>
    <w:rsid w:val="06777BBB"/>
    <w:rsid w:val="067C1136"/>
    <w:rsid w:val="06936361"/>
    <w:rsid w:val="06BB47F9"/>
    <w:rsid w:val="06E841FC"/>
    <w:rsid w:val="074E07DE"/>
    <w:rsid w:val="0765676F"/>
    <w:rsid w:val="07703F07"/>
    <w:rsid w:val="07716565"/>
    <w:rsid w:val="07A93856"/>
    <w:rsid w:val="08095549"/>
    <w:rsid w:val="08523D55"/>
    <w:rsid w:val="08617D36"/>
    <w:rsid w:val="086A3342"/>
    <w:rsid w:val="08BF383B"/>
    <w:rsid w:val="08C7125E"/>
    <w:rsid w:val="090F7E22"/>
    <w:rsid w:val="093E089C"/>
    <w:rsid w:val="093F6F9B"/>
    <w:rsid w:val="096A1516"/>
    <w:rsid w:val="0985258E"/>
    <w:rsid w:val="09EF3F7E"/>
    <w:rsid w:val="0A01708A"/>
    <w:rsid w:val="0A1A5545"/>
    <w:rsid w:val="0A3059E2"/>
    <w:rsid w:val="0A3F0D66"/>
    <w:rsid w:val="0A5546ED"/>
    <w:rsid w:val="0A5569A8"/>
    <w:rsid w:val="0A691DE5"/>
    <w:rsid w:val="0A6D133A"/>
    <w:rsid w:val="0A76349C"/>
    <w:rsid w:val="0ABA3CC0"/>
    <w:rsid w:val="0AC66A0B"/>
    <w:rsid w:val="0AED228F"/>
    <w:rsid w:val="0B1F2948"/>
    <w:rsid w:val="0B7522D5"/>
    <w:rsid w:val="0B811249"/>
    <w:rsid w:val="0BE310AD"/>
    <w:rsid w:val="0BE94349"/>
    <w:rsid w:val="0BED2361"/>
    <w:rsid w:val="0BF9212F"/>
    <w:rsid w:val="0C1D35CA"/>
    <w:rsid w:val="0C273D27"/>
    <w:rsid w:val="0C3034B7"/>
    <w:rsid w:val="0C642C40"/>
    <w:rsid w:val="0CA3508D"/>
    <w:rsid w:val="0CC63969"/>
    <w:rsid w:val="0CC81DB9"/>
    <w:rsid w:val="0CC851F7"/>
    <w:rsid w:val="0D1A59B5"/>
    <w:rsid w:val="0D501703"/>
    <w:rsid w:val="0D5253CC"/>
    <w:rsid w:val="0D960D65"/>
    <w:rsid w:val="0DA10B2C"/>
    <w:rsid w:val="0DCD68B8"/>
    <w:rsid w:val="0DEA10C3"/>
    <w:rsid w:val="0E346D95"/>
    <w:rsid w:val="0E497483"/>
    <w:rsid w:val="0E5377F3"/>
    <w:rsid w:val="0E6162F0"/>
    <w:rsid w:val="0E7D15B9"/>
    <w:rsid w:val="0EBA140A"/>
    <w:rsid w:val="0ECB4E93"/>
    <w:rsid w:val="0EEA6F7E"/>
    <w:rsid w:val="0F2F357D"/>
    <w:rsid w:val="0F7B747E"/>
    <w:rsid w:val="0F892399"/>
    <w:rsid w:val="0F8A5BA4"/>
    <w:rsid w:val="0FCE7FE9"/>
    <w:rsid w:val="0FF851D0"/>
    <w:rsid w:val="10884823"/>
    <w:rsid w:val="10AC3371"/>
    <w:rsid w:val="10D048EF"/>
    <w:rsid w:val="11487826"/>
    <w:rsid w:val="118435F5"/>
    <w:rsid w:val="118B0579"/>
    <w:rsid w:val="11F06BE6"/>
    <w:rsid w:val="126B3C8E"/>
    <w:rsid w:val="12C13E97"/>
    <w:rsid w:val="12E16556"/>
    <w:rsid w:val="12F0721A"/>
    <w:rsid w:val="12F15C4D"/>
    <w:rsid w:val="13567C0E"/>
    <w:rsid w:val="135964F4"/>
    <w:rsid w:val="135B2C24"/>
    <w:rsid w:val="13981117"/>
    <w:rsid w:val="13A33D3C"/>
    <w:rsid w:val="13AB5731"/>
    <w:rsid w:val="13FA18C3"/>
    <w:rsid w:val="141C441A"/>
    <w:rsid w:val="14467BE6"/>
    <w:rsid w:val="14733718"/>
    <w:rsid w:val="147A1FC5"/>
    <w:rsid w:val="14877923"/>
    <w:rsid w:val="14EC2EA4"/>
    <w:rsid w:val="14FF6871"/>
    <w:rsid w:val="15654422"/>
    <w:rsid w:val="159A4EC5"/>
    <w:rsid w:val="15CE7114"/>
    <w:rsid w:val="163C3732"/>
    <w:rsid w:val="16414353"/>
    <w:rsid w:val="166314AD"/>
    <w:rsid w:val="168D7AAC"/>
    <w:rsid w:val="16BC5986"/>
    <w:rsid w:val="16C137D2"/>
    <w:rsid w:val="16DE2E67"/>
    <w:rsid w:val="16EA1DEA"/>
    <w:rsid w:val="170B7672"/>
    <w:rsid w:val="171F7586"/>
    <w:rsid w:val="175A6BED"/>
    <w:rsid w:val="17833FF0"/>
    <w:rsid w:val="17953B83"/>
    <w:rsid w:val="17975F36"/>
    <w:rsid w:val="17A52973"/>
    <w:rsid w:val="17C72343"/>
    <w:rsid w:val="17C7477F"/>
    <w:rsid w:val="17D10F05"/>
    <w:rsid w:val="18A87FB3"/>
    <w:rsid w:val="18D30D6E"/>
    <w:rsid w:val="18DB438F"/>
    <w:rsid w:val="192E3A40"/>
    <w:rsid w:val="194A2FC0"/>
    <w:rsid w:val="195910EA"/>
    <w:rsid w:val="197D460E"/>
    <w:rsid w:val="19ED22D0"/>
    <w:rsid w:val="1A1456BA"/>
    <w:rsid w:val="1A16557D"/>
    <w:rsid w:val="1A402C3B"/>
    <w:rsid w:val="1A423CC7"/>
    <w:rsid w:val="1A486231"/>
    <w:rsid w:val="1A625E55"/>
    <w:rsid w:val="1A685D1B"/>
    <w:rsid w:val="1A7176EF"/>
    <w:rsid w:val="1A9624B4"/>
    <w:rsid w:val="1AC14F30"/>
    <w:rsid w:val="1B243D9E"/>
    <w:rsid w:val="1B4904D7"/>
    <w:rsid w:val="1B6B06D0"/>
    <w:rsid w:val="1B8B150B"/>
    <w:rsid w:val="1BA43286"/>
    <w:rsid w:val="1BC1786C"/>
    <w:rsid w:val="1BD55BAA"/>
    <w:rsid w:val="1BFF47D4"/>
    <w:rsid w:val="1C362480"/>
    <w:rsid w:val="1CA0445C"/>
    <w:rsid w:val="1CEB3A4B"/>
    <w:rsid w:val="1CF426A4"/>
    <w:rsid w:val="1D0A517A"/>
    <w:rsid w:val="1D277DFE"/>
    <w:rsid w:val="1D637EDC"/>
    <w:rsid w:val="1D732B9F"/>
    <w:rsid w:val="1D80142F"/>
    <w:rsid w:val="1D83270F"/>
    <w:rsid w:val="1D853F40"/>
    <w:rsid w:val="1D8551E4"/>
    <w:rsid w:val="1D97717D"/>
    <w:rsid w:val="1DD76EEE"/>
    <w:rsid w:val="1DF15C27"/>
    <w:rsid w:val="1E165805"/>
    <w:rsid w:val="1E2A5C8A"/>
    <w:rsid w:val="1E4E1A5D"/>
    <w:rsid w:val="1E64593C"/>
    <w:rsid w:val="1E6955AB"/>
    <w:rsid w:val="1EA83583"/>
    <w:rsid w:val="1EBF0392"/>
    <w:rsid w:val="1EC24A44"/>
    <w:rsid w:val="1EC446D8"/>
    <w:rsid w:val="1ECC0BB0"/>
    <w:rsid w:val="1ED74D6E"/>
    <w:rsid w:val="1F0D3E17"/>
    <w:rsid w:val="1F10454D"/>
    <w:rsid w:val="1F2E5A7A"/>
    <w:rsid w:val="1F44713C"/>
    <w:rsid w:val="1F46641F"/>
    <w:rsid w:val="1F6E1FD9"/>
    <w:rsid w:val="1F7A1095"/>
    <w:rsid w:val="1F944A52"/>
    <w:rsid w:val="1FC14B17"/>
    <w:rsid w:val="1FC65410"/>
    <w:rsid w:val="1FD12B3D"/>
    <w:rsid w:val="1FE7779D"/>
    <w:rsid w:val="201A011F"/>
    <w:rsid w:val="207D71DA"/>
    <w:rsid w:val="20AE06A2"/>
    <w:rsid w:val="20EB6973"/>
    <w:rsid w:val="20EE42FF"/>
    <w:rsid w:val="21050568"/>
    <w:rsid w:val="21122D85"/>
    <w:rsid w:val="211E7F24"/>
    <w:rsid w:val="213030D3"/>
    <w:rsid w:val="218E6A82"/>
    <w:rsid w:val="21DD1B95"/>
    <w:rsid w:val="2204666C"/>
    <w:rsid w:val="2206177F"/>
    <w:rsid w:val="2227218C"/>
    <w:rsid w:val="222D4CD7"/>
    <w:rsid w:val="2235342F"/>
    <w:rsid w:val="224655FA"/>
    <w:rsid w:val="226C45E4"/>
    <w:rsid w:val="228874E1"/>
    <w:rsid w:val="22C775FA"/>
    <w:rsid w:val="22CB460E"/>
    <w:rsid w:val="22DD4CD0"/>
    <w:rsid w:val="22FC1E1F"/>
    <w:rsid w:val="23505FED"/>
    <w:rsid w:val="23F00E6E"/>
    <w:rsid w:val="240C66EC"/>
    <w:rsid w:val="242B3432"/>
    <w:rsid w:val="24494EBA"/>
    <w:rsid w:val="246954D2"/>
    <w:rsid w:val="24865A70"/>
    <w:rsid w:val="24D762BF"/>
    <w:rsid w:val="250A16EF"/>
    <w:rsid w:val="251D7019"/>
    <w:rsid w:val="251E0441"/>
    <w:rsid w:val="25292B82"/>
    <w:rsid w:val="25477C27"/>
    <w:rsid w:val="257705A8"/>
    <w:rsid w:val="25807A2E"/>
    <w:rsid w:val="25924163"/>
    <w:rsid w:val="25926D23"/>
    <w:rsid w:val="259C0FF5"/>
    <w:rsid w:val="25A77D22"/>
    <w:rsid w:val="25B9137E"/>
    <w:rsid w:val="25CD7D77"/>
    <w:rsid w:val="25DF68F6"/>
    <w:rsid w:val="25EE1B36"/>
    <w:rsid w:val="26C3199B"/>
    <w:rsid w:val="26DE534A"/>
    <w:rsid w:val="26F81BD5"/>
    <w:rsid w:val="27032FA0"/>
    <w:rsid w:val="271F772D"/>
    <w:rsid w:val="274601C6"/>
    <w:rsid w:val="274643F9"/>
    <w:rsid w:val="274B7921"/>
    <w:rsid w:val="2777290A"/>
    <w:rsid w:val="278E13C9"/>
    <w:rsid w:val="27A630FB"/>
    <w:rsid w:val="27AA61EC"/>
    <w:rsid w:val="27BF2CAF"/>
    <w:rsid w:val="27D42352"/>
    <w:rsid w:val="27FD30FD"/>
    <w:rsid w:val="28102CDB"/>
    <w:rsid w:val="28AB1F57"/>
    <w:rsid w:val="28E17F76"/>
    <w:rsid w:val="28F94789"/>
    <w:rsid w:val="2909228B"/>
    <w:rsid w:val="293666A0"/>
    <w:rsid w:val="294A1473"/>
    <w:rsid w:val="29636998"/>
    <w:rsid w:val="29A176C8"/>
    <w:rsid w:val="29BC43F4"/>
    <w:rsid w:val="29D5097B"/>
    <w:rsid w:val="29DC1FF6"/>
    <w:rsid w:val="29ED716B"/>
    <w:rsid w:val="29FC2EF8"/>
    <w:rsid w:val="2A1F0A5D"/>
    <w:rsid w:val="2A2066A8"/>
    <w:rsid w:val="2A522FF5"/>
    <w:rsid w:val="2A852CDC"/>
    <w:rsid w:val="2A8C4DCF"/>
    <w:rsid w:val="2AA83B5A"/>
    <w:rsid w:val="2ABC1E31"/>
    <w:rsid w:val="2AD73080"/>
    <w:rsid w:val="2B0B048F"/>
    <w:rsid w:val="2B145A8D"/>
    <w:rsid w:val="2B3F1B9E"/>
    <w:rsid w:val="2B73485A"/>
    <w:rsid w:val="2BA0470C"/>
    <w:rsid w:val="2BAE210D"/>
    <w:rsid w:val="2BAF25A3"/>
    <w:rsid w:val="2BDB1678"/>
    <w:rsid w:val="2C4908B9"/>
    <w:rsid w:val="2C882755"/>
    <w:rsid w:val="2C905150"/>
    <w:rsid w:val="2CB417A1"/>
    <w:rsid w:val="2CD04E1F"/>
    <w:rsid w:val="2CF92803"/>
    <w:rsid w:val="2D01153D"/>
    <w:rsid w:val="2D180DF8"/>
    <w:rsid w:val="2D5F00FE"/>
    <w:rsid w:val="2D607897"/>
    <w:rsid w:val="2D866C16"/>
    <w:rsid w:val="2DB039EA"/>
    <w:rsid w:val="2DC26F4C"/>
    <w:rsid w:val="2DD61B80"/>
    <w:rsid w:val="2DF7166C"/>
    <w:rsid w:val="2DFB69C2"/>
    <w:rsid w:val="2DFF6DEB"/>
    <w:rsid w:val="2E222C23"/>
    <w:rsid w:val="2E410F6D"/>
    <w:rsid w:val="2E701ADA"/>
    <w:rsid w:val="2E7E38EC"/>
    <w:rsid w:val="2E804C0B"/>
    <w:rsid w:val="2E986222"/>
    <w:rsid w:val="2EB7130B"/>
    <w:rsid w:val="2EB8061D"/>
    <w:rsid w:val="2ECB6FB8"/>
    <w:rsid w:val="2F086DDC"/>
    <w:rsid w:val="2F0D6FD5"/>
    <w:rsid w:val="2F3F3D25"/>
    <w:rsid w:val="2F4B10D4"/>
    <w:rsid w:val="2F630D62"/>
    <w:rsid w:val="2F882602"/>
    <w:rsid w:val="2FBA2549"/>
    <w:rsid w:val="2FCF0B27"/>
    <w:rsid w:val="2FD61EEB"/>
    <w:rsid w:val="2FE720A0"/>
    <w:rsid w:val="2FE81678"/>
    <w:rsid w:val="304B097B"/>
    <w:rsid w:val="30603EFC"/>
    <w:rsid w:val="306C5BB4"/>
    <w:rsid w:val="30715FB1"/>
    <w:rsid w:val="30AB31BD"/>
    <w:rsid w:val="30B74B16"/>
    <w:rsid w:val="30E35E39"/>
    <w:rsid w:val="314956EA"/>
    <w:rsid w:val="315323A9"/>
    <w:rsid w:val="316F5061"/>
    <w:rsid w:val="316F7528"/>
    <w:rsid w:val="31736296"/>
    <w:rsid w:val="31A01735"/>
    <w:rsid w:val="31CA0154"/>
    <w:rsid w:val="32151C92"/>
    <w:rsid w:val="324911A2"/>
    <w:rsid w:val="328947D7"/>
    <w:rsid w:val="32CC61AA"/>
    <w:rsid w:val="32E91E50"/>
    <w:rsid w:val="32EB5251"/>
    <w:rsid w:val="32ED7AF1"/>
    <w:rsid w:val="32FC5D9F"/>
    <w:rsid w:val="330D7181"/>
    <w:rsid w:val="331410A0"/>
    <w:rsid w:val="33181954"/>
    <w:rsid w:val="332F02F2"/>
    <w:rsid w:val="337771E9"/>
    <w:rsid w:val="339D304E"/>
    <w:rsid w:val="33A66B0B"/>
    <w:rsid w:val="33E52369"/>
    <w:rsid w:val="33EE23B4"/>
    <w:rsid w:val="341E7EC8"/>
    <w:rsid w:val="34206A79"/>
    <w:rsid w:val="344A7A7A"/>
    <w:rsid w:val="34BE6071"/>
    <w:rsid w:val="34E21C65"/>
    <w:rsid w:val="350466BC"/>
    <w:rsid w:val="351277EB"/>
    <w:rsid w:val="35994A99"/>
    <w:rsid w:val="35D06834"/>
    <w:rsid w:val="361C7D41"/>
    <w:rsid w:val="36686C57"/>
    <w:rsid w:val="36993F98"/>
    <w:rsid w:val="36DC24BA"/>
    <w:rsid w:val="36F13414"/>
    <w:rsid w:val="373C6AF3"/>
    <w:rsid w:val="37475695"/>
    <w:rsid w:val="3748364B"/>
    <w:rsid w:val="37627779"/>
    <w:rsid w:val="37661E91"/>
    <w:rsid w:val="37FC6A06"/>
    <w:rsid w:val="382B4FD8"/>
    <w:rsid w:val="383C5C07"/>
    <w:rsid w:val="38E803A2"/>
    <w:rsid w:val="38ED08A8"/>
    <w:rsid w:val="39524ABE"/>
    <w:rsid w:val="39813836"/>
    <w:rsid w:val="39DD0C1B"/>
    <w:rsid w:val="3A2B7216"/>
    <w:rsid w:val="3A510585"/>
    <w:rsid w:val="3A5D6DBC"/>
    <w:rsid w:val="3A657F9A"/>
    <w:rsid w:val="3A80699A"/>
    <w:rsid w:val="3A8E0037"/>
    <w:rsid w:val="3B1B2DDA"/>
    <w:rsid w:val="3B301822"/>
    <w:rsid w:val="3BCC0FE6"/>
    <w:rsid w:val="3BF9082A"/>
    <w:rsid w:val="3C1F405C"/>
    <w:rsid w:val="3C541024"/>
    <w:rsid w:val="3C9F10B8"/>
    <w:rsid w:val="3CAD15DF"/>
    <w:rsid w:val="3CE95BCD"/>
    <w:rsid w:val="3CEA5FC5"/>
    <w:rsid w:val="3CF31716"/>
    <w:rsid w:val="3D1554E8"/>
    <w:rsid w:val="3D176E38"/>
    <w:rsid w:val="3D1D7341"/>
    <w:rsid w:val="3D3C0C26"/>
    <w:rsid w:val="3D4759E5"/>
    <w:rsid w:val="3D5823C5"/>
    <w:rsid w:val="3D766B64"/>
    <w:rsid w:val="3D7E677A"/>
    <w:rsid w:val="3DAD43E1"/>
    <w:rsid w:val="3DCB634A"/>
    <w:rsid w:val="3DEF280C"/>
    <w:rsid w:val="3E1F0F33"/>
    <w:rsid w:val="3E2A2D4F"/>
    <w:rsid w:val="3E451BF7"/>
    <w:rsid w:val="3E4D42CE"/>
    <w:rsid w:val="3E94330A"/>
    <w:rsid w:val="3EB72495"/>
    <w:rsid w:val="3EF120A2"/>
    <w:rsid w:val="3EFB455B"/>
    <w:rsid w:val="3F0256F8"/>
    <w:rsid w:val="3F1F71E0"/>
    <w:rsid w:val="3F2701DC"/>
    <w:rsid w:val="3F50277B"/>
    <w:rsid w:val="3F74228C"/>
    <w:rsid w:val="3F896F80"/>
    <w:rsid w:val="3FAB4899"/>
    <w:rsid w:val="3FBC63E4"/>
    <w:rsid w:val="3FCC53D1"/>
    <w:rsid w:val="3FDE0094"/>
    <w:rsid w:val="3FF60C0A"/>
    <w:rsid w:val="4008002C"/>
    <w:rsid w:val="404E47D3"/>
    <w:rsid w:val="405B4BA2"/>
    <w:rsid w:val="406F2C62"/>
    <w:rsid w:val="40745B07"/>
    <w:rsid w:val="40AF6325"/>
    <w:rsid w:val="40B53ADF"/>
    <w:rsid w:val="40B937B3"/>
    <w:rsid w:val="41075E37"/>
    <w:rsid w:val="410C3FE9"/>
    <w:rsid w:val="4123293D"/>
    <w:rsid w:val="41345616"/>
    <w:rsid w:val="41606AF5"/>
    <w:rsid w:val="41903008"/>
    <w:rsid w:val="41B04DEE"/>
    <w:rsid w:val="41E64854"/>
    <w:rsid w:val="41F01EA1"/>
    <w:rsid w:val="420B54C4"/>
    <w:rsid w:val="42500B4B"/>
    <w:rsid w:val="425252B7"/>
    <w:rsid w:val="42673F49"/>
    <w:rsid w:val="42714DAE"/>
    <w:rsid w:val="42A93A33"/>
    <w:rsid w:val="42B62182"/>
    <w:rsid w:val="42CE451D"/>
    <w:rsid w:val="42DF0F1F"/>
    <w:rsid w:val="42E572B3"/>
    <w:rsid w:val="435552C6"/>
    <w:rsid w:val="43CE35BE"/>
    <w:rsid w:val="43DE18F5"/>
    <w:rsid w:val="4404488A"/>
    <w:rsid w:val="44387AF1"/>
    <w:rsid w:val="446E6C2F"/>
    <w:rsid w:val="44932013"/>
    <w:rsid w:val="449979D7"/>
    <w:rsid w:val="44A1638B"/>
    <w:rsid w:val="44D70E67"/>
    <w:rsid w:val="44D80963"/>
    <w:rsid w:val="44FB2547"/>
    <w:rsid w:val="45007DB1"/>
    <w:rsid w:val="452400F5"/>
    <w:rsid w:val="45286790"/>
    <w:rsid w:val="453B4F45"/>
    <w:rsid w:val="4550643D"/>
    <w:rsid w:val="456D280A"/>
    <w:rsid w:val="459E3C9F"/>
    <w:rsid w:val="45E979A1"/>
    <w:rsid w:val="4669654E"/>
    <w:rsid w:val="467359BB"/>
    <w:rsid w:val="467408B0"/>
    <w:rsid w:val="468E078A"/>
    <w:rsid w:val="469F7B6E"/>
    <w:rsid w:val="46A71C92"/>
    <w:rsid w:val="46CB30B1"/>
    <w:rsid w:val="46CE255B"/>
    <w:rsid w:val="470669BA"/>
    <w:rsid w:val="47200FB0"/>
    <w:rsid w:val="473F1AF6"/>
    <w:rsid w:val="479F51BF"/>
    <w:rsid w:val="47A65CEC"/>
    <w:rsid w:val="47C73BED"/>
    <w:rsid w:val="47FD3CA2"/>
    <w:rsid w:val="48237FF9"/>
    <w:rsid w:val="488C6704"/>
    <w:rsid w:val="48E65142"/>
    <w:rsid w:val="4912296B"/>
    <w:rsid w:val="499C57B5"/>
    <w:rsid w:val="49AC597D"/>
    <w:rsid w:val="49AC5E5D"/>
    <w:rsid w:val="49DD0937"/>
    <w:rsid w:val="49FC2498"/>
    <w:rsid w:val="4A2D17A7"/>
    <w:rsid w:val="4A2F0BF1"/>
    <w:rsid w:val="4A7268F9"/>
    <w:rsid w:val="4A9B4FC0"/>
    <w:rsid w:val="4AA63A59"/>
    <w:rsid w:val="4AD044C0"/>
    <w:rsid w:val="4B4039A5"/>
    <w:rsid w:val="4B4B0831"/>
    <w:rsid w:val="4B670A6B"/>
    <w:rsid w:val="4BE823B4"/>
    <w:rsid w:val="4C217A6A"/>
    <w:rsid w:val="4C2729AB"/>
    <w:rsid w:val="4C4142E4"/>
    <w:rsid w:val="4C766524"/>
    <w:rsid w:val="4C8B3D64"/>
    <w:rsid w:val="4C9D4EF0"/>
    <w:rsid w:val="4D14126E"/>
    <w:rsid w:val="4D1B610E"/>
    <w:rsid w:val="4D3E7489"/>
    <w:rsid w:val="4D5463F2"/>
    <w:rsid w:val="4D914497"/>
    <w:rsid w:val="4DB2327D"/>
    <w:rsid w:val="4E1C1B8F"/>
    <w:rsid w:val="4E212879"/>
    <w:rsid w:val="4E250A2C"/>
    <w:rsid w:val="4E266139"/>
    <w:rsid w:val="4E854C72"/>
    <w:rsid w:val="4E9D333E"/>
    <w:rsid w:val="4EBF0B12"/>
    <w:rsid w:val="4ED8607B"/>
    <w:rsid w:val="4F212F09"/>
    <w:rsid w:val="4F9064AB"/>
    <w:rsid w:val="4F924A0D"/>
    <w:rsid w:val="4FF91958"/>
    <w:rsid w:val="50016927"/>
    <w:rsid w:val="502F6B8E"/>
    <w:rsid w:val="506870B3"/>
    <w:rsid w:val="5099653A"/>
    <w:rsid w:val="50CC684B"/>
    <w:rsid w:val="50D157FE"/>
    <w:rsid w:val="50EF064A"/>
    <w:rsid w:val="51550C44"/>
    <w:rsid w:val="515E78E3"/>
    <w:rsid w:val="517734D8"/>
    <w:rsid w:val="51925EAB"/>
    <w:rsid w:val="519A0A2F"/>
    <w:rsid w:val="519E3F8E"/>
    <w:rsid w:val="51A82EC1"/>
    <w:rsid w:val="51C145B7"/>
    <w:rsid w:val="52040371"/>
    <w:rsid w:val="52286F7C"/>
    <w:rsid w:val="52385AE1"/>
    <w:rsid w:val="52461669"/>
    <w:rsid w:val="527313CC"/>
    <w:rsid w:val="532946A9"/>
    <w:rsid w:val="53341FE2"/>
    <w:rsid w:val="533E4EA4"/>
    <w:rsid w:val="534228B2"/>
    <w:rsid w:val="53692441"/>
    <w:rsid w:val="539B16F0"/>
    <w:rsid w:val="53A94759"/>
    <w:rsid w:val="53AB7593"/>
    <w:rsid w:val="53E71F27"/>
    <w:rsid w:val="53EB4CBE"/>
    <w:rsid w:val="53F014C0"/>
    <w:rsid w:val="543B4420"/>
    <w:rsid w:val="54504294"/>
    <w:rsid w:val="548613BD"/>
    <w:rsid w:val="549B5CF3"/>
    <w:rsid w:val="54B15D4D"/>
    <w:rsid w:val="54BF2742"/>
    <w:rsid w:val="54C0429B"/>
    <w:rsid w:val="54F43FFC"/>
    <w:rsid w:val="556243CB"/>
    <w:rsid w:val="55BE6D6E"/>
    <w:rsid w:val="55CE2AEF"/>
    <w:rsid w:val="55E57DAC"/>
    <w:rsid w:val="56063707"/>
    <w:rsid w:val="563A67F6"/>
    <w:rsid w:val="566350CC"/>
    <w:rsid w:val="569F6E77"/>
    <w:rsid w:val="56CA3A43"/>
    <w:rsid w:val="57351378"/>
    <w:rsid w:val="57860BEE"/>
    <w:rsid w:val="58111FC8"/>
    <w:rsid w:val="582955CA"/>
    <w:rsid w:val="5876478F"/>
    <w:rsid w:val="58995868"/>
    <w:rsid w:val="58CC45D8"/>
    <w:rsid w:val="59394CA5"/>
    <w:rsid w:val="59AA202B"/>
    <w:rsid w:val="59AF3643"/>
    <w:rsid w:val="59BB279A"/>
    <w:rsid w:val="59FC51FF"/>
    <w:rsid w:val="5A2B0D60"/>
    <w:rsid w:val="5A3876AB"/>
    <w:rsid w:val="5A6A5C79"/>
    <w:rsid w:val="5A733051"/>
    <w:rsid w:val="5A963281"/>
    <w:rsid w:val="5AA0156D"/>
    <w:rsid w:val="5AA27CC8"/>
    <w:rsid w:val="5AAF308A"/>
    <w:rsid w:val="5ABA6C8E"/>
    <w:rsid w:val="5AE87D3C"/>
    <w:rsid w:val="5B0157CA"/>
    <w:rsid w:val="5B29009C"/>
    <w:rsid w:val="5B6D2E1B"/>
    <w:rsid w:val="5B720F3C"/>
    <w:rsid w:val="5B81048F"/>
    <w:rsid w:val="5BAA5FDB"/>
    <w:rsid w:val="5BCF72D8"/>
    <w:rsid w:val="5BD375FF"/>
    <w:rsid w:val="5BE12640"/>
    <w:rsid w:val="5BFC4082"/>
    <w:rsid w:val="5C26158F"/>
    <w:rsid w:val="5C645BFC"/>
    <w:rsid w:val="5C7E4668"/>
    <w:rsid w:val="5C8C73E6"/>
    <w:rsid w:val="5C9E3B9F"/>
    <w:rsid w:val="5CF57FCA"/>
    <w:rsid w:val="5CF73A29"/>
    <w:rsid w:val="5D1C27F1"/>
    <w:rsid w:val="5D6D68DE"/>
    <w:rsid w:val="5D6F74D8"/>
    <w:rsid w:val="5D793EBE"/>
    <w:rsid w:val="5D9C3A49"/>
    <w:rsid w:val="5DB676BE"/>
    <w:rsid w:val="5DE07A6F"/>
    <w:rsid w:val="5DE14123"/>
    <w:rsid w:val="5E0D5697"/>
    <w:rsid w:val="5E493C2A"/>
    <w:rsid w:val="5E4F1F37"/>
    <w:rsid w:val="5E734E45"/>
    <w:rsid w:val="5E7627CB"/>
    <w:rsid w:val="5E7C76A8"/>
    <w:rsid w:val="5E8F60C6"/>
    <w:rsid w:val="5E980C37"/>
    <w:rsid w:val="5E9B0ABC"/>
    <w:rsid w:val="5E9D3588"/>
    <w:rsid w:val="5E9F1E67"/>
    <w:rsid w:val="5EB71294"/>
    <w:rsid w:val="5EC44B2C"/>
    <w:rsid w:val="5ED426C3"/>
    <w:rsid w:val="5EE53171"/>
    <w:rsid w:val="5EF97834"/>
    <w:rsid w:val="5F034D52"/>
    <w:rsid w:val="5F091C04"/>
    <w:rsid w:val="5F1211B3"/>
    <w:rsid w:val="5F40590D"/>
    <w:rsid w:val="5F561D7F"/>
    <w:rsid w:val="5F8E1A72"/>
    <w:rsid w:val="5F9B27A2"/>
    <w:rsid w:val="5FAF2C53"/>
    <w:rsid w:val="6014257C"/>
    <w:rsid w:val="60770695"/>
    <w:rsid w:val="608965C0"/>
    <w:rsid w:val="609771DC"/>
    <w:rsid w:val="60B74951"/>
    <w:rsid w:val="60D95851"/>
    <w:rsid w:val="60D97B42"/>
    <w:rsid w:val="61274B79"/>
    <w:rsid w:val="612C747E"/>
    <w:rsid w:val="6162607A"/>
    <w:rsid w:val="61654698"/>
    <w:rsid w:val="61B71A30"/>
    <w:rsid w:val="61C16E6D"/>
    <w:rsid w:val="61F600B7"/>
    <w:rsid w:val="621120D1"/>
    <w:rsid w:val="626626B2"/>
    <w:rsid w:val="626959F6"/>
    <w:rsid w:val="6286170E"/>
    <w:rsid w:val="62A80235"/>
    <w:rsid w:val="62AE3680"/>
    <w:rsid w:val="62DC20CB"/>
    <w:rsid w:val="62FB6C2F"/>
    <w:rsid w:val="63062FA6"/>
    <w:rsid w:val="631F251C"/>
    <w:rsid w:val="63787927"/>
    <w:rsid w:val="63A74AB4"/>
    <w:rsid w:val="63B9310E"/>
    <w:rsid w:val="63EE2126"/>
    <w:rsid w:val="63EF1359"/>
    <w:rsid w:val="6444211A"/>
    <w:rsid w:val="6447732D"/>
    <w:rsid w:val="645A7019"/>
    <w:rsid w:val="645C4F01"/>
    <w:rsid w:val="646D555D"/>
    <w:rsid w:val="64AC4FBA"/>
    <w:rsid w:val="64B44740"/>
    <w:rsid w:val="64C0498E"/>
    <w:rsid w:val="65510509"/>
    <w:rsid w:val="663A441F"/>
    <w:rsid w:val="66754080"/>
    <w:rsid w:val="66AB3A5C"/>
    <w:rsid w:val="66AE39D4"/>
    <w:rsid w:val="66E34513"/>
    <w:rsid w:val="67080D5E"/>
    <w:rsid w:val="6750592F"/>
    <w:rsid w:val="67665913"/>
    <w:rsid w:val="676D6D79"/>
    <w:rsid w:val="67806E1A"/>
    <w:rsid w:val="6808339A"/>
    <w:rsid w:val="68142187"/>
    <w:rsid w:val="685D5A41"/>
    <w:rsid w:val="686D3C4F"/>
    <w:rsid w:val="68A46770"/>
    <w:rsid w:val="68DB5C70"/>
    <w:rsid w:val="69263225"/>
    <w:rsid w:val="696D737B"/>
    <w:rsid w:val="69776626"/>
    <w:rsid w:val="698047C8"/>
    <w:rsid w:val="69D52CF4"/>
    <w:rsid w:val="69D61FF3"/>
    <w:rsid w:val="69E16D53"/>
    <w:rsid w:val="6A164887"/>
    <w:rsid w:val="6A2D6085"/>
    <w:rsid w:val="6A312DBA"/>
    <w:rsid w:val="6B290C71"/>
    <w:rsid w:val="6B396F45"/>
    <w:rsid w:val="6B5A70AE"/>
    <w:rsid w:val="6B7B1951"/>
    <w:rsid w:val="6B9E1333"/>
    <w:rsid w:val="6BBF1478"/>
    <w:rsid w:val="6BDC38FD"/>
    <w:rsid w:val="6C3873B0"/>
    <w:rsid w:val="6C480CC0"/>
    <w:rsid w:val="6C8F20E8"/>
    <w:rsid w:val="6CB65DED"/>
    <w:rsid w:val="6CD8412A"/>
    <w:rsid w:val="6CEB3816"/>
    <w:rsid w:val="6D3F53EA"/>
    <w:rsid w:val="6D5410AC"/>
    <w:rsid w:val="6D5E4088"/>
    <w:rsid w:val="6D6038F9"/>
    <w:rsid w:val="6D6A6115"/>
    <w:rsid w:val="6D6C0778"/>
    <w:rsid w:val="6D876BD0"/>
    <w:rsid w:val="6DA256D0"/>
    <w:rsid w:val="6DC263E8"/>
    <w:rsid w:val="6DFE7BE5"/>
    <w:rsid w:val="6E0162B2"/>
    <w:rsid w:val="6E1211C5"/>
    <w:rsid w:val="6E7142EB"/>
    <w:rsid w:val="6ED920B3"/>
    <w:rsid w:val="6EDD31E2"/>
    <w:rsid w:val="6EED1808"/>
    <w:rsid w:val="6EED6CCC"/>
    <w:rsid w:val="6EF02EDB"/>
    <w:rsid w:val="6EF23C0B"/>
    <w:rsid w:val="6F223E26"/>
    <w:rsid w:val="6F2D6944"/>
    <w:rsid w:val="6F5D70EA"/>
    <w:rsid w:val="6F7653FA"/>
    <w:rsid w:val="6FA81996"/>
    <w:rsid w:val="6FBB968B"/>
    <w:rsid w:val="700644EC"/>
    <w:rsid w:val="701D74C2"/>
    <w:rsid w:val="702159F6"/>
    <w:rsid w:val="704A7778"/>
    <w:rsid w:val="704E47E8"/>
    <w:rsid w:val="70636DC1"/>
    <w:rsid w:val="70910F3F"/>
    <w:rsid w:val="709E554D"/>
    <w:rsid w:val="70AD6DE4"/>
    <w:rsid w:val="70DF20FF"/>
    <w:rsid w:val="718959D9"/>
    <w:rsid w:val="71A37937"/>
    <w:rsid w:val="71A62F56"/>
    <w:rsid w:val="71C67D61"/>
    <w:rsid w:val="72160B5F"/>
    <w:rsid w:val="722023F3"/>
    <w:rsid w:val="72453296"/>
    <w:rsid w:val="72817304"/>
    <w:rsid w:val="72AC6EC9"/>
    <w:rsid w:val="72FA2401"/>
    <w:rsid w:val="73090EC9"/>
    <w:rsid w:val="73783DF3"/>
    <w:rsid w:val="73905584"/>
    <w:rsid w:val="739D4348"/>
    <w:rsid w:val="739E37A8"/>
    <w:rsid w:val="73AC4452"/>
    <w:rsid w:val="73AF777C"/>
    <w:rsid w:val="73B448C8"/>
    <w:rsid w:val="73CB5718"/>
    <w:rsid w:val="73EA2AA9"/>
    <w:rsid w:val="73F7431C"/>
    <w:rsid w:val="74150FB2"/>
    <w:rsid w:val="74157A81"/>
    <w:rsid w:val="743B7FBB"/>
    <w:rsid w:val="74704A9D"/>
    <w:rsid w:val="74736E91"/>
    <w:rsid w:val="748F5B6A"/>
    <w:rsid w:val="74911600"/>
    <w:rsid w:val="74CE0CCD"/>
    <w:rsid w:val="74DC1712"/>
    <w:rsid w:val="74F8469D"/>
    <w:rsid w:val="75804D76"/>
    <w:rsid w:val="75C63DAD"/>
    <w:rsid w:val="76135372"/>
    <w:rsid w:val="76261D82"/>
    <w:rsid w:val="762849F7"/>
    <w:rsid w:val="76314C98"/>
    <w:rsid w:val="763925D6"/>
    <w:rsid w:val="76753989"/>
    <w:rsid w:val="76815C73"/>
    <w:rsid w:val="76852D2B"/>
    <w:rsid w:val="76F15AF5"/>
    <w:rsid w:val="774A534D"/>
    <w:rsid w:val="77727F69"/>
    <w:rsid w:val="7794012D"/>
    <w:rsid w:val="77946080"/>
    <w:rsid w:val="77C54931"/>
    <w:rsid w:val="77FE1509"/>
    <w:rsid w:val="781B16C6"/>
    <w:rsid w:val="78231386"/>
    <w:rsid w:val="784055DA"/>
    <w:rsid w:val="78643027"/>
    <w:rsid w:val="78EF0927"/>
    <w:rsid w:val="79224F4B"/>
    <w:rsid w:val="7949458C"/>
    <w:rsid w:val="796D4CA8"/>
    <w:rsid w:val="799B2C1F"/>
    <w:rsid w:val="79CA0F10"/>
    <w:rsid w:val="79D60F53"/>
    <w:rsid w:val="79F64506"/>
    <w:rsid w:val="7A2A1226"/>
    <w:rsid w:val="7A3B0F94"/>
    <w:rsid w:val="7A5453B1"/>
    <w:rsid w:val="7A5A4203"/>
    <w:rsid w:val="7A6B43E4"/>
    <w:rsid w:val="7A805BD1"/>
    <w:rsid w:val="7A8D3FEE"/>
    <w:rsid w:val="7AE34104"/>
    <w:rsid w:val="7AEC2A26"/>
    <w:rsid w:val="7AF9216A"/>
    <w:rsid w:val="7B1F727D"/>
    <w:rsid w:val="7B2345F6"/>
    <w:rsid w:val="7B34581E"/>
    <w:rsid w:val="7B36668B"/>
    <w:rsid w:val="7B4C4705"/>
    <w:rsid w:val="7B636903"/>
    <w:rsid w:val="7B64682C"/>
    <w:rsid w:val="7B737ABF"/>
    <w:rsid w:val="7B8F2EAD"/>
    <w:rsid w:val="7BC933CD"/>
    <w:rsid w:val="7BF00C33"/>
    <w:rsid w:val="7BF05E02"/>
    <w:rsid w:val="7C066A98"/>
    <w:rsid w:val="7C2C29E5"/>
    <w:rsid w:val="7C36224F"/>
    <w:rsid w:val="7C41637F"/>
    <w:rsid w:val="7C5A215D"/>
    <w:rsid w:val="7C9153B4"/>
    <w:rsid w:val="7CB467AE"/>
    <w:rsid w:val="7D194632"/>
    <w:rsid w:val="7D5E4281"/>
    <w:rsid w:val="7D867D16"/>
    <w:rsid w:val="7DBD4F7E"/>
    <w:rsid w:val="7DEC1C07"/>
    <w:rsid w:val="7E104757"/>
    <w:rsid w:val="7E1450CC"/>
    <w:rsid w:val="7E177DDD"/>
    <w:rsid w:val="7E4124CE"/>
    <w:rsid w:val="7E532972"/>
    <w:rsid w:val="7E572984"/>
    <w:rsid w:val="7E623533"/>
    <w:rsid w:val="7EB31B84"/>
    <w:rsid w:val="7EF6363F"/>
    <w:rsid w:val="7EFE30B5"/>
    <w:rsid w:val="7F0274E2"/>
    <w:rsid w:val="7F0C5BA8"/>
    <w:rsid w:val="7F112EBE"/>
    <w:rsid w:val="7F17549E"/>
    <w:rsid w:val="7F1D3E6E"/>
    <w:rsid w:val="7F527961"/>
    <w:rsid w:val="7F5B36A5"/>
    <w:rsid w:val="7F801BAA"/>
    <w:rsid w:val="7FAA09D3"/>
    <w:rsid w:val="7FFA698E"/>
    <w:rsid w:val="DF5F0E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尾注引用 New"/>
    <w:qFormat/>
    <w:uiPriority w:val="0"/>
    <w:rPr>
      <w:vertAlign w:val="superscript"/>
    </w:rPr>
  </w:style>
  <w:style w:type="character" w:customStyle="1" w:styleId="9">
    <w:name w:val="页脚 字符"/>
    <w:link w:val="3"/>
    <w:qFormat/>
    <w:uiPriority w:val="0"/>
    <w:rPr>
      <w:kern w:val="2"/>
      <w:sz w:val="18"/>
      <w:szCs w:val="18"/>
    </w:rPr>
  </w:style>
  <w:style w:type="character" w:customStyle="1" w:styleId="10">
    <w:name w:val="页眉 字符"/>
    <w:link w:val="4"/>
    <w:qFormat/>
    <w:uiPriority w:val="0"/>
    <w:rPr>
      <w:kern w:val="2"/>
      <w:sz w:val="18"/>
      <w:szCs w:val="18"/>
    </w:rPr>
  </w:style>
  <w:style w:type="character" w:customStyle="1" w:styleId="11">
    <w:name w:val="页码 New New"/>
    <w:basedOn w:val="7"/>
    <w:qFormat/>
    <w:uiPriority w:val="0"/>
  </w:style>
  <w:style w:type="paragraph" w:customStyle="1" w:styleId="12">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_Style 12"/>
    <w:unhideWhenUsed/>
    <w:qFormat/>
    <w:uiPriority w:val="99"/>
    <w:rPr>
      <w:rFonts w:ascii="Times New Roman" w:hAnsi="Times New Roman" w:eastAsia="宋体" w:cs="Times New Roman"/>
      <w:kern w:val="2"/>
      <w:sz w:val="21"/>
      <w:lang w:val="en-US" w:eastAsia="zh-CN" w:bidi="ar-SA"/>
    </w:rPr>
  </w:style>
  <w:style w:type="paragraph" w:customStyle="1" w:styleId="14">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8">
    <w:name w:val="页脚 New New"/>
    <w:basedOn w:val="17"/>
    <w:qFormat/>
    <w:uiPriority w:val="0"/>
    <w:pPr>
      <w:tabs>
        <w:tab w:val="center" w:pos="4153"/>
        <w:tab w:val="right" w:pos="8306"/>
      </w:tabs>
      <w:snapToGrid w:val="0"/>
      <w:jc w:val="left"/>
    </w:pPr>
    <w:rPr>
      <w:sz w:val="18"/>
      <w:szCs w:val="18"/>
    </w:rPr>
  </w:style>
  <w:style w:type="paragraph" w:customStyle="1" w:styleId="19">
    <w:name w:val="p0 New New New New New New New New New New New New New New New New"/>
    <w:basedOn w:val="14"/>
    <w:qFormat/>
    <w:uiPriority w:val="0"/>
    <w:pPr>
      <w:widowControl/>
    </w:pPr>
    <w:rPr>
      <w:rFonts w:ascii="Calibri" w:hAnsi="Calibri" w:cs="宋体"/>
      <w:kern w:val="0"/>
      <w:szCs w:val="21"/>
    </w:rPr>
  </w:style>
  <w:style w:type="paragraph" w:customStyle="1" w:styleId="20">
    <w:name w:val="p0"/>
    <w:basedOn w:val="21"/>
    <w:qFormat/>
    <w:uiPriority w:val="0"/>
    <w:pPr>
      <w:widowControl/>
    </w:pPr>
    <w:rPr>
      <w:kern w:val="0"/>
      <w:szCs w:val="21"/>
    </w:rPr>
  </w:style>
  <w:style w:type="paragraph" w:customStyle="1" w:styleId="2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日期 New"/>
    <w:basedOn w:val="24"/>
    <w:next w:val="24"/>
    <w:qFormat/>
    <w:uiPriority w:val="0"/>
    <w:rPr>
      <w:rFonts w:ascii="仿宋_GB2312"/>
    </w:rPr>
  </w:style>
  <w:style w:type="paragraph" w:customStyle="1" w:styleId="24">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5">
    <w:name w:val="p0 New New New New"/>
    <w:basedOn w:val="12"/>
    <w:qFormat/>
    <w:uiPriority w:val="0"/>
    <w:pPr>
      <w:widowControl/>
    </w:pPr>
    <w:rPr>
      <w:rFonts w:ascii="Calibri" w:hAnsi="Calibri" w:cs="宋体"/>
      <w:kern w:val="0"/>
      <w:szCs w:val="21"/>
    </w:rPr>
  </w:style>
  <w:style w:type="paragraph" w:customStyle="1" w:styleId="26">
    <w:name w:val="p0 New New New New New New New New New New New New New New"/>
    <w:basedOn w:val="27"/>
    <w:qFormat/>
    <w:uiPriority w:val="0"/>
    <w:pPr>
      <w:widowControl/>
    </w:pPr>
    <w:rPr>
      <w:rFonts w:ascii="Calibri" w:hAnsi="Calibri" w:cs="宋体"/>
      <w:kern w:val="0"/>
      <w:szCs w:val="21"/>
    </w:rPr>
  </w:style>
  <w:style w:type="paragraph" w:customStyle="1" w:styleId="27">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
    <w:name w:val="CM10"/>
    <w:basedOn w:val="21"/>
    <w:next w:val="21"/>
    <w:qFormat/>
    <w:uiPriority w:val="0"/>
    <w:pPr>
      <w:autoSpaceDE w:val="0"/>
      <w:autoSpaceDN w:val="0"/>
      <w:adjustRightInd w:val="0"/>
      <w:spacing w:line="580" w:lineRule="atLeast"/>
      <w:jc w:val="left"/>
    </w:pPr>
    <w:rPr>
      <w:rFonts w:ascii="宋体"/>
      <w:kern w:val="0"/>
      <w:sz w:val="24"/>
    </w:rPr>
  </w:style>
  <w:style w:type="paragraph" w:customStyle="1" w:styleId="29">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p0 New New New New New New"/>
    <w:basedOn w:val="29"/>
    <w:qFormat/>
    <w:uiPriority w:val="0"/>
    <w:pPr>
      <w:widowControl/>
    </w:pPr>
    <w:rPr>
      <w:rFonts w:ascii="Calibri" w:hAnsi="Calibri" w:cs="宋体"/>
      <w:kern w:val="0"/>
      <w:szCs w:val="21"/>
    </w:rPr>
  </w:style>
  <w:style w:type="paragraph" w:customStyle="1" w:styleId="31">
    <w:name w:val="p0 New New New New New New New New New New New New New New New New New New"/>
    <w:basedOn w:val="22"/>
    <w:qFormat/>
    <w:uiPriority w:val="0"/>
    <w:pPr>
      <w:widowControl/>
    </w:pPr>
    <w:rPr>
      <w:rFonts w:ascii="Calibri" w:hAnsi="Calibri" w:cs="宋体"/>
      <w:kern w:val="0"/>
      <w:szCs w:val="21"/>
    </w:rPr>
  </w:style>
  <w:style w:type="paragraph" w:customStyle="1" w:styleId="32">
    <w:name w:val="普通(网站) New"/>
    <w:basedOn w:val="21"/>
    <w:qFormat/>
    <w:uiPriority w:val="0"/>
    <w:pPr>
      <w:widowControl/>
      <w:spacing w:before="100" w:beforeAutospacing="1" w:after="100" w:afterAutospacing="1"/>
      <w:jc w:val="left"/>
    </w:pPr>
    <w:rPr>
      <w:rFonts w:ascii="宋体" w:cs="宋体"/>
      <w:kern w:val="0"/>
      <w:sz w:val="24"/>
    </w:rPr>
  </w:style>
  <w:style w:type="paragraph" w:customStyle="1" w:styleId="33">
    <w:name w:val="正文1"/>
    <w:qFormat/>
    <w:uiPriority w:val="0"/>
    <w:pPr>
      <w:jc w:val="both"/>
    </w:pPr>
    <w:rPr>
      <w:rFonts w:ascii="Times New Roman" w:hAnsi="Times New Roman" w:eastAsia="宋体" w:cs="Times New Roman"/>
      <w:kern w:val="2"/>
      <w:sz w:val="21"/>
      <w:lang w:val="en-US" w:eastAsia="zh-CN" w:bidi="ar-SA"/>
    </w:rPr>
  </w:style>
  <w:style w:type="paragraph" w:customStyle="1" w:styleId="34">
    <w:name w:val="Revision"/>
    <w:hidden/>
    <w:unhideWhenUsed/>
    <w:qFormat/>
    <w:uiPriority w:val="99"/>
    <w:rPr>
      <w:rFonts w:ascii="Times New Roman" w:hAnsi="Times New Roman" w:eastAsia="宋体" w:cs="Times New Roman"/>
      <w:kern w:val="2"/>
      <w:sz w:val="21"/>
      <w:lang w:val="en-US" w:eastAsia="zh-CN" w:bidi="ar-SA"/>
    </w:rPr>
  </w:style>
  <w:style w:type="paragraph" w:customStyle="1" w:styleId="35">
    <w:name w:val="Normal"/>
    <w:qFormat/>
    <w:uiPriority w:val="0"/>
    <w:pPr>
      <w:jc w:val="both"/>
    </w:pPr>
    <w:rPr>
      <w:rFonts w:ascii="Times New Roman" w:hAnsi="Times New Roman"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8534</Words>
  <Characters>9026</Characters>
  <Lines>733</Lines>
  <Paragraphs>583</Paragraphs>
  <TotalTime>6</TotalTime>
  <ScaleCrop>false</ScaleCrop>
  <LinksUpToDate>false</LinksUpToDate>
  <CharactersWithSpaces>9609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林光雨</cp:lastModifiedBy>
  <cp:lastPrinted>2026-01-14T15:04:00Z</cp:lastPrinted>
  <dcterms:modified xsi:type="dcterms:W3CDTF">2026-02-04T11:18:52Z</dcterms:modified>
  <dc:title>福建省商务厅关于开展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2476B4D284728BE7018B1A69B3BE2B01_43</vt:lpwstr>
  </property>
  <property fmtid="{D5CDD505-2E9C-101B-9397-08002B2CF9AE}" pid="4" name="KSOTemplateDocerSaveRecord">
    <vt:lpwstr>eyJoZGlkIjoiYTg5YTI2ZTkxZmYwM2EyMTM2MGUxNTA2Y2I4YzIxZDIiLCJ1c2VySWQiOiI3MTIyNzE3NTcifQ==</vt:lpwstr>
  </property>
</Properties>
</file>