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5A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27237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D0F42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《福建省商务厅关于开展省级海外仓认定工作的通知(征求意见稿)》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起草说明</w:t>
      </w:r>
    </w:p>
    <w:bookmarkEnd w:id="0"/>
    <w:p w14:paraId="43CAAB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300" w:hanging="660"/>
        <w:jc w:val="both"/>
        <w:textAlignment w:val="auto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 </w:t>
      </w:r>
    </w:p>
    <w:p w14:paraId="712D14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贯彻落实国务院工作部署和省政府相关工作要求，优化我省海外仓布局，推动外贸高质量发展，拟开展省级海外仓认定工作。我们研究起草了《福建省商务厅关于开展省级海外仓认定工作的通知(征求意见稿)》（以下简称《通知》），现将有关情况说明如下。</w:t>
      </w:r>
    </w:p>
    <w:p w14:paraId="5C43E7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300" w:hanging="660"/>
        <w:jc w:val="both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一、政策背景和依据</w:t>
      </w:r>
    </w:p>
    <w:p w14:paraId="672076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《商务部等9部门关于拓展跨境电商出口 推进海外仓建设的意见》（商贸发〔2024〕125号）、《商务部等四单位关于印发&lt;支持跨境电商海外仓发展有关举措&gt;的通知》（商贸函〔2023〕597号）均提出要优化海外仓布局，加快培育外贸新动能。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2023年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福建省人民政府工作报告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分别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指出“积极发展市场采购、跨境电商、海外仓等外贸新业态”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、“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巩固发展市场采购、跨境电商、保税物流等新业态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737868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300" w:hanging="66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</w:rPr>
        <w:t>二、制定意义和总体考虑</w:t>
      </w:r>
    </w:p>
    <w:p w14:paraId="60FE4E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海外仓属于新型外贸基础设施，是传统一般贸易和跨境电商融合发展的产物，海外仓备货模式有利于促进中小微企业借船出海、提高中国品牌掌握国际市场渠道的能力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加快在主要出口市场打造能够为我省企业提供货物集散、报关清关、物流运输、尾程配送等服务的海外仓，是企业的普遍诉求，也是外贸高质量发展的实际需求。开展省级海外仓认定，是推动海外仓高质量发展的应时之举，也是对广大市场主体期盼的主动回应。</w:t>
      </w:r>
    </w:p>
    <w:p w14:paraId="056005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三、起草过程</w:t>
      </w:r>
    </w:p>
    <w:p w14:paraId="76D3D9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文件起草借鉴了浙江、广东、安徽、湖北、陕西等省份经验做法。</w:t>
      </w:r>
    </w:p>
    <w:p w14:paraId="22A9D2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（二）我处牵头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对全省海外仓建设进行了摸底，根据摸底情况，参照兄弟省市做法，设置了相应认定标准，起草了《通知》草稿。</w:t>
      </w:r>
    </w:p>
    <w:p w14:paraId="77CA9B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（三）外贸处召开处务会对草稿进行了研讨，根据研讨意见对《通知》草稿进行了修稿完善，形成《通知》征求意见稿。</w:t>
      </w:r>
    </w:p>
    <w:p w14:paraId="4092CD1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720" w:firstLineChars="2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主要内容</w:t>
      </w:r>
    </w:p>
    <w:p w14:paraId="274C421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通知主要分海外仓的定义、认定对象和条件、申报材料和要求等四部分。主要内容如下：</w:t>
      </w:r>
    </w:p>
    <w:p w14:paraId="6A87E87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（一）海外仓的定义，明确了公共海外仓和自用海外仓的具体含义。</w:t>
      </w:r>
    </w:p>
    <w:p w14:paraId="3463C1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（二）认定对象和条件，明确了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认定对象、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申报企业应具备的条件、申报海外仓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 w14:paraId="3B74D7A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（三）申报材料，明确了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申报企业需要提交的材料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 w14:paraId="160BE52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（四）申报要求，明确了申报程序。</w:t>
      </w:r>
    </w:p>
    <w:p w14:paraId="7B684DE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（五）认定和结果运用，明确了认定支持原则。</w:t>
      </w:r>
    </w:p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20DC2"/>
    <w:rsid w:val="0991191B"/>
    <w:rsid w:val="4E412B3B"/>
    <w:rsid w:val="5AC2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酣睡</dc:creator>
  <cp:lastModifiedBy>酣睡</cp:lastModifiedBy>
  <dcterms:modified xsi:type="dcterms:W3CDTF">2025-01-22T06:35:58Z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C34B4C8AAA2045A89C2B8AD5CA64917F_11</vt:lpwstr>
  </property>
  <property fmtid="{D5CDD505-2E9C-101B-9397-08002B2CF9AE}" pid="4" name="KSOTemplateDocerSaveRecord">
    <vt:lpwstr>eyJoZGlkIjoiZTkzOWNkZGZiZjE4NTc5Y2NlYmFkYmU1ZTQ0ZTUwZWIiLCJ1c2VySWQiOiIxMTk5NDc1OTExIn0=</vt:lpwstr>
  </property>
</Properties>
</file>