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560" w:lineRule="exact"/>
        <w:jc w:val="left"/>
        <w:outlineLvl w:val="0"/>
        <w:rPr>
          <w:rFonts w:ascii="Times New Roman" w:eastAsia="方正黑体_GBK" w:cs="Times New Roman" w:hAnsi="Times New Roman"/>
          <w:sz w:val="32"/>
          <w:szCs w:val="32"/>
        </w:rPr>
      </w:pPr>
      <w:r>
        <w:rPr>
          <w:rFonts w:ascii="Times New Roman" w:eastAsia="方正黑体_GBK" w:cs="Times New Roman" w:hAnsi="Times New Roman"/>
          <w:sz w:val="32"/>
          <w:szCs w:val="32"/>
        </w:rPr>
        <w:t>附件1</w:t>
      </w:r>
    </w:p>
    <w:p>
      <w:pPr>
        <w:snapToGrid w:val="0"/>
        <w:spacing w:line="560" w:lineRule="exact"/>
        <w:jc w:val="left"/>
        <w:outlineLvl w:val="0"/>
        <w:rPr>
          <w:rFonts w:ascii="Times New Roman" w:eastAsia="方正黑体_GBK" w:cs="Times New Roman" w:hAnsi="Times New Roman"/>
          <w:sz w:val="32"/>
          <w:szCs w:val="32"/>
        </w:rPr>
      </w:pPr>
    </w:p>
    <w:p>
      <w:pPr>
        <w:snapToGrid w:val="0"/>
        <w:spacing w:line="560" w:lineRule="exact"/>
        <w:jc w:val="center"/>
        <w:outlineLvl w:val="0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芒果蒸热处理操作程序</w:t>
      </w:r>
    </w:p>
    <w:p>
      <w:pPr>
        <w:snapToGrid w:val="0"/>
        <w:spacing w:line="560" w:lineRule="exact"/>
        <w:rPr>
          <w:rFonts w:ascii="方正黑体_GBK" w:eastAsia="方正黑体_GBK" w:hint="eastAsia"/>
          <w:sz w:val="32"/>
          <w:szCs w:val="32"/>
        </w:rPr>
      </w:pPr>
    </w:p>
    <w:p>
      <w:pPr>
        <w:snapToGrid w:val="0"/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一、蒸热处理设施</w:t>
      </w:r>
    </w:p>
    <w:p>
      <w:pPr>
        <w:snapToGrid w:val="0"/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（一）蒸热处理场地要求。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1. </w:t>
      </w:r>
      <w:r>
        <w:rPr>
          <w:rFonts w:eastAsia="方正仿宋_GBK" w:hint="eastAsia"/>
          <w:sz w:val="32"/>
          <w:szCs w:val="32"/>
        </w:rPr>
        <w:t>蒸</w:t>
      </w:r>
      <w:r>
        <w:rPr>
          <w:rFonts w:eastAsia="方正仿宋_GBK"/>
          <w:sz w:val="32"/>
          <w:szCs w:val="32"/>
        </w:rPr>
        <w:t>热处理区应设在认可的水果包装厂内。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包装厂应包括检疫区、集货区、分级区、蒸热处理区、冷藏区、包装区、存储区。至少处理区、包装区和存储区之间应有隔离设施，以防止昆虫等有害生物进入。处理场地应保持良好的卫生状况。</w:t>
      </w:r>
    </w:p>
    <w:p>
      <w:pPr>
        <w:snapToGrid w:val="0"/>
        <w:spacing w:line="560" w:lineRule="exact"/>
        <w:ind w:firstLineChars="200" w:firstLine="640"/>
        <w:rPr>
          <w:rFonts w:ascii="方正楷体_GBK" w:eastAsia="方正楷体_GBK" w:hint="eastAsia"/>
          <w:bCs/>
        </w:rPr>
      </w:pPr>
      <w:r>
        <w:rPr>
          <w:rFonts w:ascii="方正楷体_GBK" w:eastAsia="方正楷体_GBK" w:hint="eastAsia"/>
          <w:bCs/>
        </w:rPr>
        <w:t>（二）蒸热处理设施要求。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蒸热处理设施应具备合适的配置，以实施有效的热处理。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蒸热处理设施应由</w:t>
      </w:r>
      <w:r>
        <w:rPr>
          <w:rFonts w:eastAsia="方正仿宋_GBK" w:hint="eastAsia"/>
          <w:color w:val="000000"/>
          <w:sz w:val="32"/>
          <w:szCs w:val="32"/>
          <w:lang w:eastAsia="zh-CN"/>
        </w:rPr>
        <w:t>孟方</w:t>
      </w:r>
      <w:r>
        <w:rPr>
          <w:rFonts w:eastAsia="方正仿宋_GBK" w:hint="eastAsia"/>
          <w:sz w:val="32"/>
          <w:szCs w:val="32"/>
          <w:lang w:eastAsia="zh-CN"/>
        </w:rPr>
        <w:t>审核</w:t>
      </w:r>
      <w:r>
        <w:rPr>
          <w:rFonts w:eastAsia="方正仿宋_GBK"/>
          <w:sz w:val="32"/>
          <w:szCs w:val="32"/>
        </w:rPr>
        <w:t>，并</w:t>
      </w:r>
      <w:r>
        <w:rPr>
          <w:rFonts w:eastAsia="方正仿宋_GBK" w:hint="eastAsia"/>
          <w:sz w:val="32"/>
          <w:szCs w:val="32"/>
          <w:lang w:eastAsia="zh-CN"/>
        </w:rPr>
        <w:t>经中方批准注册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 w:hint="eastAsia"/>
          <w:color w:val="000000"/>
          <w:sz w:val="32"/>
          <w:szCs w:val="32"/>
          <w:lang w:eastAsia="zh-CN"/>
        </w:rPr>
        <w:t>孟方</w:t>
      </w:r>
      <w:r>
        <w:rPr>
          <w:rFonts w:eastAsia="方正仿宋_GBK"/>
          <w:sz w:val="32"/>
          <w:szCs w:val="32"/>
        </w:rPr>
        <w:t>应提前向</w:t>
      </w:r>
      <w:r>
        <w:rPr>
          <w:rFonts w:eastAsia="方正仿宋_GBK" w:hint="eastAsia"/>
          <w:sz w:val="32"/>
          <w:szCs w:val="32"/>
          <w:lang w:eastAsia="zh-CN"/>
        </w:rPr>
        <w:t>中方</w:t>
      </w:r>
      <w:r>
        <w:rPr>
          <w:rFonts w:eastAsia="方正仿宋_GBK"/>
          <w:sz w:val="32"/>
          <w:szCs w:val="32"/>
        </w:rPr>
        <w:t>提供设施情况及初步测试结果。</w:t>
      </w:r>
    </w:p>
    <w:p>
      <w:pPr>
        <w:snapToGrid w:val="0"/>
        <w:spacing w:line="560" w:lineRule="exact"/>
        <w:ind w:firstLineChars="200" w:firstLine="640"/>
        <w:rPr>
          <w:rFonts w:ascii="方正楷体_GBK" w:eastAsia="方正楷体_GBK" w:hint="eastAsia"/>
          <w:bCs/>
        </w:rPr>
      </w:pPr>
      <w:r>
        <w:rPr>
          <w:rFonts w:ascii="方正楷体_GBK" w:eastAsia="方正楷体_GBK" w:hint="eastAsia"/>
          <w:bCs/>
        </w:rPr>
        <w:t>（三）注册名单。</w:t>
      </w:r>
    </w:p>
    <w:p>
      <w:pPr>
        <w:snapToGrid w:val="0"/>
        <w:spacing w:line="560" w:lineRule="exact"/>
        <w:ind w:firstLineChars="196" w:firstLine="627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每个出口季节前，</w:t>
      </w:r>
      <w:r>
        <w:rPr>
          <w:rFonts w:eastAsia="方正仿宋_GBK" w:hint="eastAsia"/>
          <w:sz w:val="32"/>
          <w:szCs w:val="32"/>
          <w:lang w:eastAsia="zh-CN"/>
        </w:rPr>
        <w:t>中方</w:t>
      </w:r>
      <w:r>
        <w:rPr>
          <w:rFonts w:eastAsia="方正仿宋_GBK"/>
          <w:sz w:val="32"/>
          <w:szCs w:val="32"/>
        </w:rPr>
        <w:t>将评估处理设施是否符合有关要求，以便更新注册名单。</w:t>
      </w:r>
    </w:p>
    <w:p>
      <w:pPr>
        <w:snapToGrid w:val="0"/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二、温度、湿度监测设备</w:t>
      </w:r>
    </w:p>
    <w:p>
      <w:pPr>
        <w:snapToGrid w:val="0"/>
        <w:spacing w:line="560" w:lineRule="exact"/>
        <w:ind w:firstLineChars="200" w:firstLine="640"/>
        <w:rPr>
          <w:rFonts w:ascii="方正楷体_GBK" w:eastAsia="方正楷体_GBK" w:hint="eastAsia"/>
          <w:bCs/>
        </w:rPr>
      </w:pPr>
      <w:r>
        <w:rPr>
          <w:rFonts w:ascii="方正楷体_GBK" w:eastAsia="方正楷体_GBK" w:hint="eastAsia"/>
          <w:bCs/>
        </w:rPr>
        <w:t>（一）温度、湿度记录仪。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能够自动记录和存储所有温度、湿度探针测定的数据。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有足够数量的温度、湿度探针连接口。</w:t>
      </w:r>
    </w:p>
    <w:p>
      <w:pPr>
        <w:widowControl/>
        <w:tabs>
          <w:tab w:val="left" w:pos="360"/>
          <w:tab w:val="left" w:pos="720"/>
        </w:tabs>
        <w:overflowPunct w:val="0"/>
        <w:autoSpaceDE w:val="0"/>
        <w:autoSpaceDN w:val="0"/>
        <w:snapToGrid w:val="0"/>
        <w:spacing w:line="560" w:lineRule="exact"/>
        <w:ind w:firstLineChars="200" w:firstLine="64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3. 温度记录显示精度为0.1°C，并能按一定的时间间隔（如每隔5 min）打印输出每个探针记录的日期、时间和温、湿度数据。</w:t>
      </w:r>
    </w:p>
    <w:p>
      <w:pPr>
        <w:snapToGrid w:val="0"/>
        <w:spacing w:line="560" w:lineRule="exact"/>
        <w:ind w:firstLineChars="200" w:firstLine="640"/>
        <w:rPr>
          <w:rFonts w:ascii="方正楷体_GBK" w:eastAsia="方正楷体_GBK" w:hint="eastAsia"/>
          <w:bCs/>
        </w:rPr>
      </w:pPr>
      <w:r>
        <w:rPr>
          <w:rFonts w:ascii="方正楷体_GBK" w:eastAsia="方正楷体_GBK" w:hint="eastAsia"/>
          <w:bCs/>
        </w:rPr>
        <w:t>（二）温度、湿度探针。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温度探针的精确要求达±0.1</w:t>
      </w:r>
      <w:r>
        <w:rPr>
          <w:rFonts w:eastAsia="方正仿宋_GBK"/>
          <w:kern w:val="0"/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应保证有足够数量的温、湿度探针，以测定蒸热处理室内设置在上、中和下层每层1个以上位置的果心温度，以及1个以上位置的空间温、湿度。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所有温度探针应由</w:t>
      </w:r>
      <w:r>
        <w:rPr>
          <w:rFonts w:eastAsia="方正仿宋_GBK" w:hint="eastAsia"/>
          <w:color w:val="000000"/>
          <w:sz w:val="32"/>
          <w:szCs w:val="32"/>
          <w:lang w:eastAsia="zh-CN"/>
        </w:rPr>
        <w:t>孟方</w:t>
      </w:r>
      <w:r>
        <w:rPr>
          <w:rFonts w:ascii="Calibri" w:eastAsia="方正仿宋_GBK" w:hAnsi="Calibri"/>
          <w:sz w:val="32"/>
          <w:szCs w:val="32"/>
        </w:rPr>
        <w:t>官员</w:t>
      </w:r>
      <w:r>
        <w:rPr>
          <w:rFonts w:eastAsia="方正仿宋_GBK"/>
          <w:sz w:val="32"/>
          <w:szCs w:val="32"/>
        </w:rPr>
        <w:t>或</w:t>
      </w:r>
      <w:r>
        <w:rPr>
          <w:rFonts w:eastAsia="方正仿宋_GBK" w:hint="eastAsia"/>
          <w:color w:val="000000"/>
          <w:sz w:val="32"/>
          <w:szCs w:val="32"/>
          <w:lang w:eastAsia="zh-CN"/>
        </w:rPr>
        <w:t>孟方</w:t>
      </w:r>
      <w:r>
        <w:rPr>
          <w:rFonts w:eastAsia="方正仿宋_GBK"/>
          <w:sz w:val="32"/>
          <w:szCs w:val="32"/>
        </w:rPr>
        <w:t>授权人员负责校正。误差超过±0.3</w:t>
      </w:r>
      <w:r>
        <w:rPr>
          <w:rFonts w:eastAsia="方正仿宋_GBK"/>
          <w:kern w:val="0"/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的探针不能使用，应予替换。</w:t>
      </w:r>
    </w:p>
    <w:p>
      <w:pPr>
        <w:snapToGrid w:val="0"/>
        <w:spacing w:line="560" w:lineRule="exact"/>
        <w:ind w:firstLineChars="200" w:firstLine="640"/>
        <w:rPr>
          <w:rFonts w:ascii="方正楷体_GBK" w:eastAsia="方正楷体_GBK" w:hint="eastAsia"/>
          <w:bCs/>
        </w:rPr>
      </w:pPr>
      <w:r>
        <w:rPr>
          <w:rFonts w:ascii="方正楷体_GBK" w:eastAsia="方正楷体_GBK" w:hint="eastAsia"/>
          <w:bCs/>
        </w:rPr>
        <w:t>（三）温度探针校正方法。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使用经认定的标准水银温度计校正。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将探针和标准温度计一起放入盛水的恒温水浴箱内，水浴箱加热至处理指标温度（如47</w:t>
      </w:r>
      <w:r>
        <w:rPr>
          <w:rFonts w:eastAsia="方正仿宋_GBK"/>
          <w:kern w:val="0"/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），通过调整水浴箱的温度设置，使标准温度计温度维持在目标温度，稳定30 min后，利用温度记录仪记录温度探针的温度，每5 min记录1次，重复记录3次，取平均值，计算温度探针与标准温度计的误差，取2次以上误差相同的值作为校正值。</w:t>
      </w:r>
    </w:p>
    <w:p>
      <w:pPr>
        <w:snapToGrid w:val="0"/>
        <w:spacing w:line="560" w:lineRule="exact"/>
        <w:ind w:firstLineChars="200" w:firstLine="640"/>
        <w:rPr>
          <w:rFonts w:ascii="方正楷体_GBK" w:eastAsia="方正楷体_GBK" w:hint="eastAsia"/>
          <w:bCs/>
        </w:rPr>
      </w:pPr>
      <w:r>
        <w:rPr>
          <w:rFonts w:ascii="方正楷体_GBK" w:eastAsia="方正楷体_GBK" w:hint="eastAsia"/>
          <w:bCs/>
        </w:rPr>
        <w:t>（四）温度探针校正频次。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在蒸热处理季节，每隔14天须校正温度探针。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当自动温度记录仪发生故障修复后使用或零件更换时，温度探针须重新校正。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温度探针更换时，温度探针须重新校正。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检疫人员认为必要时，温度探针须重新校正。</w:t>
      </w:r>
    </w:p>
    <w:p>
      <w:pPr>
        <w:snapToGrid w:val="0"/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三、蒸热处理技术指标</w:t>
      </w:r>
    </w:p>
    <w:p>
      <w:pPr>
        <w:widowControl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相对湿度最低为95%。在升温和处理温度期间，温度记录仪每5 min自动记录一次探针温、湿度，整个蒸热处理过程（包括升温、处理和冷却）时间不少于2h。芒果（最大果）果心温度46.5°C，处理时间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0 min。</w:t>
      </w:r>
    </w:p>
    <w:p>
      <w:pPr>
        <w:snapToGrid w:val="0"/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四、蒸热处理操作程序</w:t>
      </w:r>
    </w:p>
    <w:p>
      <w:pPr>
        <w:snapToGrid w:val="0"/>
        <w:spacing w:line="560" w:lineRule="exact"/>
        <w:ind w:firstLineChars="200" w:firstLine="640"/>
        <w:rPr>
          <w:rFonts w:ascii="方正楷体_GBK" w:eastAsia="方正楷体_GBK" w:hint="eastAsia"/>
          <w:bCs/>
        </w:rPr>
      </w:pPr>
      <w:r>
        <w:rPr>
          <w:rFonts w:ascii="方正楷体_GBK" w:eastAsia="方正楷体_GBK" w:hint="eastAsia"/>
          <w:bCs/>
        </w:rPr>
        <w:t>（一）装载。</w:t>
      </w:r>
    </w:p>
    <w:p>
      <w:pPr>
        <w:widowControl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 芒果以专用容器装载后，均匀排列于蒸热托盘上。</w:t>
      </w:r>
    </w:p>
    <w:p>
      <w:pPr>
        <w:widowControl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 热处理室内果实盛载量应不少于最大盛载限量的1/3。</w:t>
      </w:r>
    </w:p>
    <w:p>
      <w:pPr>
        <w:snapToGrid w:val="0"/>
        <w:spacing w:line="560" w:lineRule="exact"/>
        <w:ind w:firstLineChars="200" w:firstLine="640"/>
        <w:rPr>
          <w:rFonts w:ascii="方正楷体_GBK" w:eastAsia="方正楷体_GBK" w:hint="eastAsia"/>
          <w:bCs/>
        </w:rPr>
      </w:pPr>
      <w:r>
        <w:rPr>
          <w:rFonts w:ascii="方正楷体_GBK" w:eastAsia="方正楷体_GBK" w:hint="eastAsia"/>
          <w:bCs/>
        </w:rPr>
        <w:t>（二）温度探针的放置。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每个蒸热托盘至少安插1个探针，根据温度测定结果放置于蒸热处理室内最低温度区（一般最低温度分布区在货物顶层的中间或边角温度最低部位）。每一批蒸热处理至少要使用9个温度探针。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取</w:t>
      </w:r>
      <w:r>
        <w:rPr>
          <w:rFonts w:eastAsia="方正仿宋_GBK" w:hint="eastAsia"/>
          <w:sz w:val="32"/>
          <w:szCs w:val="32"/>
        </w:rPr>
        <w:t>最大</w:t>
      </w:r>
      <w:r>
        <w:rPr>
          <w:rFonts w:eastAsia="方正仿宋_GBK"/>
          <w:sz w:val="32"/>
          <w:szCs w:val="32"/>
        </w:rPr>
        <w:t>的芒果，将探针从果实末端纵向插入至种壳附近，但探针尖端不能接触到种壳。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插探针的测温果实置于该蒸热托盘最上层，探针线需固定。</w:t>
      </w:r>
    </w:p>
    <w:p>
      <w:pPr>
        <w:snapToGrid w:val="0"/>
        <w:spacing w:line="560" w:lineRule="exact"/>
        <w:ind w:firstLineChars="200" w:firstLine="640"/>
        <w:rPr>
          <w:rFonts w:ascii="方正楷体_GBK" w:eastAsia="方正楷体_GBK" w:hint="eastAsia"/>
          <w:bCs/>
        </w:rPr>
      </w:pPr>
      <w:r>
        <w:rPr>
          <w:rFonts w:ascii="方正楷体_GBK" w:eastAsia="方正楷体_GBK" w:hint="eastAsia"/>
          <w:bCs/>
        </w:rPr>
        <w:t>（三）蒸热处理。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1. 升温期。蒸热处理室内相对湿度60% </w:t>
      </w:r>
      <w:r>
        <w:rPr>
          <w:rFonts w:eastAsia="方正仿宋_GBK" w:hint="eastAsia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90%时，使用饱和热蒸汽由室温缓慢加热至果心温度43</w:t>
      </w:r>
      <w:r>
        <w:rPr>
          <w:rFonts w:eastAsia="方正仿宋_GBK"/>
          <w:kern w:val="0"/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，此过程约占整个处理时间的2/3；当果心温度达到43</w:t>
      </w:r>
      <w:r>
        <w:rPr>
          <w:rFonts w:eastAsia="方正仿宋_GBK"/>
          <w:kern w:val="0"/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，蒸热处理室相对湿度大于90%时，继续使用饱和蒸汽快速加热至果心温度46.5</w:t>
      </w:r>
      <w:r>
        <w:rPr>
          <w:rFonts w:eastAsia="方正仿宋_GBK"/>
          <w:kern w:val="0"/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处理期。当所有插有温度探针的芒果果心温度均达到46.5</w:t>
      </w:r>
      <w:r>
        <w:rPr>
          <w:rFonts w:eastAsia="方正仿宋_GBK"/>
          <w:kern w:val="0"/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时，蒸热处理室相对湿度大于95%，使用饱和水蒸汽维持并保持处理时间10 min。</w:t>
      </w:r>
    </w:p>
    <w:p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降温期。采用冷水喷淋、冷水浸泡、风冷等方式对蒸热处理后的果实进行降温处理，使果实中心温度降至30</w:t>
      </w:r>
      <w:r>
        <w:rPr>
          <w:rFonts w:eastAsia="方正仿宋_GBK"/>
          <w:kern w:val="0"/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以下。水冷时，水中需加入有效氯，其含量不超过200ppm。</w:t>
      </w:r>
    </w:p>
    <w:p>
      <w:pPr>
        <w:snapToGrid w:val="0"/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五、温度记录审核</w:t>
      </w:r>
    </w:p>
    <w:p>
      <w:pPr>
        <w:spacing w:line="560" w:lineRule="exact"/>
        <w:ind w:left="0" w:firstLineChars="200" w:firstLine="640"/>
      </w:pPr>
      <w:r>
        <w:rPr>
          <w:rFonts w:eastAsia="方正仿宋_GBK" w:hint="eastAsia"/>
          <w:sz w:val="32"/>
          <w:szCs w:val="32"/>
          <w:lang w:eastAsia="zh-CN"/>
        </w:rPr>
        <w:t>货物</w:t>
      </w:r>
      <w:r>
        <w:rPr>
          <w:rFonts w:eastAsia="方正仿宋_GBK"/>
          <w:sz w:val="32"/>
          <w:szCs w:val="32"/>
        </w:rPr>
        <w:t>到达中国口岸时，须将由</w:t>
      </w:r>
      <w:r>
        <w:rPr>
          <w:rFonts w:eastAsia="方正仿宋_GBK" w:hint="eastAsia"/>
          <w:sz w:val="32"/>
          <w:szCs w:val="32"/>
          <w:lang w:eastAsia="zh-CN"/>
        </w:rPr>
        <w:t>孟方</w:t>
      </w:r>
      <w:r>
        <w:rPr>
          <w:rFonts w:eastAsia="方正仿宋_GBK"/>
          <w:sz w:val="32"/>
          <w:szCs w:val="32"/>
        </w:rPr>
        <w:t>官员背书的温度探针校正报告和处理温度记录交由中国海关</w:t>
      </w:r>
      <w:r>
        <w:rPr>
          <w:rFonts w:eastAsia="方正仿宋_GBK" w:hint="eastAsia"/>
          <w:sz w:val="32"/>
          <w:szCs w:val="32"/>
          <w:lang w:eastAsia="zh-CN"/>
        </w:rPr>
        <w:t>人员</w:t>
      </w:r>
      <w:r>
        <w:rPr>
          <w:rFonts w:eastAsia="方正仿宋_GBK"/>
          <w:sz w:val="32"/>
          <w:szCs w:val="32"/>
        </w:rPr>
        <w:t>审核。</w:t>
      </w:r>
    </w:p>
    <w:sectPr>
      <w:pgSz w:w="11906" w:h="16838"/>
      <w:pgMar w:top="1984" w:right="1474" w:bottom="1871" w:left="1587" w:header="851" w:footer="992" w:gutter="0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8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Dk1MjVkMTdmZjY0MDNlOWRmMWU4MTkwNWZkNjQwZ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Times New Roman" w:eastAsia="方正黑体_GBK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  <w:style w:type="paragraph" w:customStyle="1" w:styleId="15">
    <w:name w:val="样式 三号"/>
    <w:pPr>
      <w:widowControl w:val="0"/>
      <w:jc w:val="both"/>
    </w:pPr>
    <w:rPr>
      <w:rFonts w:ascii="Times New Roman" w:eastAsia="方正黑体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">
    <w:name w:val="样式 1 三号"/>
    <w:pPr>
      <w:widowControl w:val="0"/>
      <w:jc w:val="both"/>
    </w:pPr>
    <w:rPr>
      <w:rFonts w:ascii="Times New Roman" w:eastAsia="方正黑体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">
    <w:name w:val="样式 2 三号"/>
    <w:pPr>
      <w:widowControl w:val="0"/>
      <w:jc w:val="both"/>
    </w:pPr>
    <w:rPr>
      <w:rFonts w:ascii="Times New Roman" w:eastAsia="方正黑体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">
    <w:name w:val="样式 3 三号"/>
    <w:pPr>
      <w:widowControl w:val="0"/>
      <w:jc w:val="both"/>
    </w:pPr>
    <w:rPr>
      <w:rFonts w:ascii="Times New Roman" w:eastAsia="方正黑体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">
    <w:name w:val="样式 4 三号"/>
    <w:pPr>
      <w:widowControl w:val="0"/>
      <w:jc w:val="both"/>
    </w:pPr>
    <w:rPr>
      <w:rFonts w:ascii="Times New Roman" w:eastAsia="方正黑体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">
    <w:name w:val="样式 5 三号"/>
    <w:pPr>
      <w:widowControl w:val="0"/>
      <w:jc w:val="both"/>
    </w:pPr>
    <w:rPr>
      <w:rFonts w:ascii="Times New Roman" w:eastAsia="方正黑体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">
    <w:name w:val="样式 6 三号"/>
    <w:pPr>
      <w:widowControl w:val="0"/>
      <w:jc w:val="both"/>
    </w:pPr>
    <w:rPr>
      <w:rFonts w:ascii="Times New Roman" w:eastAsia="方正黑体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">
    <w:name w:val="样式 7 三号"/>
    <w:pPr>
      <w:widowControl w:val="0"/>
      <w:jc w:val="both"/>
    </w:pPr>
    <w:rPr>
      <w:rFonts w:ascii="Times New Roman" w:eastAsia="方正黑体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">
    <w:name w:val="样式 8 三号"/>
    <w:pPr>
      <w:widowControl w:val="0"/>
      <w:jc w:val="both"/>
    </w:pPr>
    <w:rPr>
      <w:rFonts w:ascii="Times New Roman" w:eastAsia="方正黑体_GBK" w:cs="Times New Roman" w:hAnsi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10</Words>
  <Characters>10</Characters>
  <Lines>1</Lines>
  <Paragraphs>0</Paragraphs>
  <CharactersWithSpaces>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何可欣</cp:lastModifiedBy>
  <cp:revision>0</cp:revision>
  <dcterms:created xsi:type="dcterms:W3CDTF">2024-07-06T03:50:00Z</dcterms:created>
  <dcterms:modified xsi:type="dcterms:W3CDTF">2024-07-29T00:56:11Z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A73E6B214F4649ED8170E01E78D1A2F7_12</vt:lpwstr>
  </property>
</Properties>
</file>