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黑体" w:hAnsi="黑体" w:eastAsia="黑体" w:cs="黑体"/>
          <w:b w:val="0"/>
          <w:bCs/>
          <w:sz w:val="32"/>
          <w:szCs w:val="32"/>
          <w:u w:val="none"/>
          <w:lang w:val="en-US" w:eastAsia="zh-CN"/>
        </w:rPr>
      </w:pPr>
      <w:r>
        <w:rPr>
          <w:rFonts w:hint="eastAsia" w:ascii="黑体" w:hAnsi="黑体" w:eastAsia="黑体" w:cs="黑体"/>
          <w:b w:val="0"/>
          <w:bCs/>
          <w:sz w:val="32"/>
          <w:szCs w:val="32"/>
          <w:u w:val="none"/>
          <w:lang w:val="en-US" w:eastAsia="zh-CN"/>
        </w:rPr>
        <w:t xml:space="preserve">附件 </w:t>
      </w:r>
      <w:r>
        <w:rPr>
          <w:rFonts w:hint="eastAsia" w:ascii="宋体" w:hAnsi="宋体" w:eastAsia="宋体" w:cs="宋体"/>
          <w:b w:val="0"/>
          <w:bCs/>
          <w:sz w:val="32"/>
          <w:szCs w:val="32"/>
          <w:u w:val="none"/>
          <w:lang w:val="en-US" w:eastAsia="zh-CN"/>
        </w:rPr>
        <w:t xml:space="preserve"> </w:t>
      </w:r>
      <w:r>
        <w:rPr>
          <w:rFonts w:hint="eastAsia" w:ascii="黑体" w:hAnsi="黑体" w:eastAsia="黑体" w:cs="黑体"/>
          <w:b w:val="0"/>
          <w:bCs/>
          <w:sz w:val="32"/>
          <w:szCs w:val="32"/>
          <w:u w:val="none"/>
          <w:lang w:val="en-US" w:eastAsia="zh-CN"/>
        </w:rPr>
        <w:t xml:space="preserve">  </w:t>
      </w:r>
    </w:p>
    <w:p>
      <w:pPr>
        <w:pStyle w:val="2"/>
        <w:ind w:left="0" w:leftChars="0" w:firstLine="0" w:firstLineChars="0"/>
        <w:jc w:val="center"/>
        <w:rPr>
          <w:rFonts w:hint="eastAsia" w:ascii="方正小标宋简体" w:hAnsi="方正小标宋简体" w:eastAsia="方正小标宋简体" w:cs="方正小标宋简体"/>
          <w:b w:val="0"/>
          <w:bCs/>
          <w:sz w:val="36"/>
          <w:szCs w:val="36"/>
          <w:u w:val="none"/>
        </w:rPr>
      </w:pPr>
      <w:r>
        <w:rPr>
          <w:rFonts w:hint="eastAsia" w:ascii="方正小标宋简体" w:hAnsi="方正小标宋简体" w:eastAsia="方正小标宋简体" w:cs="方正小标宋简体"/>
          <w:b w:val="0"/>
          <w:bCs/>
          <w:sz w:val="36"/>
          <w:szCs w:val="36"/>
          <w:u w:val="none"/>
          <w:lang w:val="en-US" w:eastAsia="zh-CN"/>
        </w:rPr>
        <w:t>公开征选申请</w:t>
      </w:r>
      <w:r>
        <w:rPr>
          <w:rFonts w:hint="eastAsia" w:ascii="方正小标宋简体" w:hAnsi="方正小标宋简体" w:eastAsia="方正小标宋简体" w:cs="方正小标宋简体"/>
          <w:b w:val="0"/>
          <w:bCs/>
          <w:sz w:val="36"/>
          <w:szCs w:val="36"/>
          <w:u w:val="none"/>
        </w:rPr>
        <w:t>文件参考提纲</w:t>
      </w:r>
      <w:bookmarkStart w:id="0" w:name="_GoBack"/>
      <w:bookmarkEnd w:id="0"/>
    </w:p>
    <w:p>
      <w:pPr>
        <w:pStyle w:val="2"/>
        <w:rPr>
          <w:rFonts w:hint="eastAsia"/>
          <w:b w:val="0"/>
          <w:bCs/>
          <w:u w:val="none"/>
        </w:rPr>
      </w:pPr>
    </w:p>
    <w:p>
      <w:pPr>
        <w:pStyle w:val="2"/>
        <w:rPr>
          <w:rFonts w:hint="eastAsia" w:ascii="黑体" w:hAnsi="黑体" w:eastAsia="黑体" w:cs="黑体"/>
          <w:b w:val="0"/>
          <w:bCs/>
          <w:u w:val="none"/>
          <w:lang w:val="en-US" w:eastAsia="zh-CN"/>
        </w:rPr>
      </w:pPr>
      <w:r>
        <w:rPr>
          <w:rFonts w:hint="eastAsia" w:ascii="黑体" w:hAnsi="黑体" w:eastAsia="黑体" w:cs="黑体"/>
          <w:b w:val="0"/>
          <w:bCs/>
          <w:u w:val="none"/>
          <w:lang w:val="en-US" w:eastAsia="zh-CN"/>
        </w:rPr>
        <w:t>一、资质条件</w:t>
      </w:r>
    </w:p>
    <w:p>
      <w:pPr>
        <w:pStyle w:val="2"/>
        <w:rPr>
          <w:rFonts w:hint="eastAsia"/>
          <w:b w:val="0"/>
          <w:bCs/>
          <w:sz w:val="32"/>
          <w:szCs w:val="32"/>
          <w:u w:val="none"/>
          <w:lang w:val="en-US" w:eastAsia="zh-CN"/>
        </w:rPr>
      </w:pPr>
      <w:r>
        <w:rPr>
          <w:rFonts w:hint="eastAsia"/>
          <w:b w:val="0"/>
          <w:bCs/>
          <w:sz w:val="32"/>
          <w:szCs w:val="32"/>
          <w:u w:val="none"/>
          <w:lang w:val="en-US" w:eastAsia="zh-CN"/>
        </w:rPr>
        <w:t>依法登记设立，治理结构健全，内部各项管理和监督制度完善。</w:t>
      </w:r>
    </w:p>
    <w:p>
      <w:pPr>
        <w:pStyle w:val="2"/>
        <w:rPr>
          <w:rFonts w:hint="eastAsia"/>
          <w:b w:val="0"/>
          <w:bCs/>
          <w:sz w:val="32"/>
          <w:szCs w:val="32"/>
          <w:u w:val="none"/>
          <w:lang w:val="en-US" w:eastAsia="zh-CN"/>
        </w:rPr>
      </w:pPr>
      <w:r>
        <w:rPr>
          <w:rFonts w:hint="eastAsia"/>
          <w:b w:val="0"/>
          <w:bCs/>
          <w:sz w:val="32"/>
          <w:szCs w:val="32"/>
          <w:u w:val="none"/>
          <w:lang w:val="en-US" w:eastAsia="zh-CN"/>
        </w:rPr>
        <w:t>（一）服务机构或服务机构所属集团内其他子公司或与发放平台合作的支付业务板块公司，具备国家金融主管或监管部门许可的《银行卡清算业务许可证》或《支付业务许可证》等相关合法资质，且确保活动期间相关资质在有效期内。</w:t>
      </w:r>
    </w:p>
    <w:p>
      <w:pPr>
        <w:pStyle w:val="2"/>
        <w:rPr>
          <w:rFonts w:hint="eastAsia"/>
          <w:b w:val="0"/>
          <w:bCs/>
          <w:sz w:val="32"/>
          <w:szCs w:val="32"/>
          <w:u w:val="none"/>
          <w:lang w:val="en-US" w:eastAsia="zh-CN"/>
        </w:rPr>
      </w:pPr>
      <w:r>
        <w:rPr>
          <w:rFonts w:hint="eastAsia"/>
          <w:b w:val="0"/>
          <w:bCs/>
          <w:sz w:val="32"/>
          <w:szCs w:val="32"/>
          <w:u w:val="none"/>
          <w:lang w:val="en-US" w:eastAsia="zh-CN"/>
        </w:rPr>
        <w:t>（二）未被“信用中国”网站(www.creditchina.gov.cn) 列入“失信被执行人或重大税收违法案件当事人名单或政府采购严重违法失信行为记录名单”。</w:t>
      </w:r>
    </w:p>
    <w:p>
      <w:pPr>
        <w:pStyle w:val="2"/>
        <w:rPr>
          <w:rFonts w:hint="eastAsia"/>
          <w:b w:val="0"/>
          <w:bCs/>
          <w:sz w:val="32"/>
          <w:szCs w:val="32"/>
          <w:u w:val="none"/>
          <w:lang w:val="en-US" w:eastAsia="zh-CN"/>
        </w:rPr>
      </w:pPr>
      <w:r>
        <w:rPr>
          <w:rFonts w:hint="eastAsia"/>
          <w:b w:val="0"/>
          <w:bCs/>
          <w:sz w:val="32"/>
          <w:szCs w:val="32"/>
          <w:u w:val="none"/>
          <w:lang w:val="en-US" w:eastAsia="zh-CN"/>
        </w:rPr>
        <w:t>（三）不处于中国政府采购网(www.ccgp.gov.cn)“政府采购严重违法失信行为信息记录”中禁止参加政府采购活动期间。</w:t>
      </w:r>
    </w:p>
    <w:p>
      <w:pPr>
        <w:pStyle w:val="2"/>
        <w:rPr>
          <w:rFonts w:hint="eastAsia"/>
          <w:b w:val="0"/>
          <w:bCs/>
          <w:sz w:val="32"/>
          <w:szCs w:val="32"/>
          <w:u w:val="none"/>
          <w:lang w:val="en-US" w:eastAsia="zh-CN"/>
        </w:rPr>
      </w:pPr>
      <w:r>
        <w:rPr>
          <w:rFonts w:hint="eastAsia"/>
          <w:b w:val="0"/>
          <w:bCs/>
          <w:sz w:val="32"/>
          <w:szCs w:val="32"/>
          <w:u w:val="none"/>
          <w:lang w:val="en-US" w:eastAsia="zh-CN"/>
        </w:rPr>
        <w:t>（四）具备普适性、通用型较强的支付载体和工具，对外提供灵活的票券系统功能及运营能力。</w:t>
      </w:r>
    </w:p>
    <w:p>
      <w:pPr>
        <w:pStyle w:val="2"/>
        <w:rPr>
          <w:rFonts w:hint="eastAsia"/>
          <w:b w:val="0"/>
          <w:bCs/>
          <w:sz w:val="32"/>
          <w:szCs w:val="32"/>
          <w:u w:val="none"/>
          <w:lang w:val="en-US" w:eastAsia="zh-CN"/>
        </w:rPr>
      </w:pPr>
      <w:r>
        <w:rPr>
          <w:rFonts w:hint="eastAsia"/>
          <w:b w:val="0"/>
          <w:bCs/>
          <w:sz w:val="32"/>
          <w:szCs w:val="32"/>
          <w:u w:val="none"/>
          <w:lang w:val="en-US" w:eastAsia="zh-CN"/>
        </w:rPr>
        <w:t>（五）近3年来在消费补贴发放活动中未发生重大资金安全风险和隐患。</w:t>
      </w:r>
    </w:p>
    <w:p>
      <w:pPr>
        <w:pStyle w:val="2"/>
        <w:rPr>
          <w:rFonts w:hint="eastAsia" w:ascii="黑体" w:hAnsi="黑体" w:eastAsia="黑体" w:cs="黑体"/>
          <w:b w:val="0"/>
          <w:bCs/>
          <w:sz w:val="32"/>
          <w:szCs w:val="32"/>
          <w:u w:val="none"/>
          <w:lang w:val="en-US" w:eastAsia="zh-CN"/>
        </w:rPr>
      </w:pPr>
      <w:r>
        <w:rPr>
          <w:rFonts w:hint="eastAsia" w:ascii="黑体" w:hAnsi="黑体" w:eastAsia="黑体" w:cs="黑体"/>
          <w:b w:val="0"/>
          <w:bCs/>
          <w:sz w:val="32"/>
          <w:szCs w:val="32"/>
          <w:u w:val="none"/>
          <w:lang w:val="en-US" w:eastAsia="zh-CN"/>
        </w:rPr>
        <w:t>二、商务条件</w:t>
      </w:r>
    </w:p>
    <w:p>
      <w:pPr>
        <w:pStyle w:val="2"/>
        <w:rPr>
          <w:rFonts w:hint="eastAsia"/>
          <w:b w:val="0"/>
          <w:bCs/>
          <w:sz w:val="32"/>
          <w:szCs w:val="32"/>
          <w:u w:val="none"/>
          <w:lang w:val="en-US" w:eastAsia="zh-CN"/>
        </w:rPr>
      </w:pPr>
      <w:r>
        <w:rPr>
          <w:rFonts w:hint="eastAsia"/>
          <w:b w:val="0"/>
          <w:bCs/>
          <w:sz w:val="32"/>
          <w:szCs w:val="32"/>
          <w:u w:val="none"/>
          <w:lang w:val="en-US" w:eastAsia="zh-CN"/>
        </w:rPr>
        <w:t>（一）服务机构平台覆盖能力</w:t>
      </w:r>
    </w:p>
    <w:p>
      <w:pPr>
        <w:pStyle w:val="2"/>
        <w:rPr>
          <w:rFonts w:hint="eastAsia"/>
          <w:b w:val="0"/>
          <w:bCs/>
          <w:sz w:val="32"/>
          <w:szCs w:val="32"/>
          <w:u w:val="none"/>
          <w:lang w:val="en-US" w:eastAsia="zh-CN"/>
        </w:rPr>
      </w:pPr>
      <w:r>
        <w:rPr>
          <w:rFonts w:hint="eastAsia"/>
          <w:b w:val="0"/>
          <w:bCs/>
          <w:sz w:val="32"/>
          <w:szCs w:val="32"/>
          <w:u w:val="none"/>
          <w:lang w:val="en-US" w:eastAsia="zh-CN"/>
        </w:rPr>
        <w:t>1.使用申报平台APP的用户数量。</w:t>
      </w:r>
    </w:p>
    <w:p>
      <w:pPr>
        <w:pStyle w:val="2"/>
        <w:rPr>
          <w:rFonts w:hint="eastAsia"/>
          <w:b w:val="0"/>
          <w:bCs/>
          <w:sz w:val="32"/>
          <w:szCs w:val="32"/>
          <w:u w:val="none"/>
          <w:lang w:val="en-US" w:eastAsia="zh-CN"/>
        </w:rPr>
      </w:pPr>
      <w:r>
        <w:rPr>
          <w:rFonts w:hint="eastAsia"/>
          <w:b w:val="0"/>
          <w:bCs/>
          <w:sz w:val="32"/>
          <w:szCs w:val="32"/>
          <w:u w:val="none"/>
          <w:lang w:val="en-US" w:eastAsia="zh-CN"/>
        </w:rPr>
        <w:t>2.使用申报平台用户在</w:t>
      </w:r>
      <w:r>
        <w:rPr>
          <w:rFonts w:hint="eastAsia" w:ascii="仿宋_GB2312" w:hAnsi="仿宋_GB2312" w:cs="仿宋_GB2312"/>
          <w:b w:val="0"/>
          <w:bCs/>
          <w:sz w:val="32"/>
          <w:szCs w:val="32"/>
          <w:u w:val="none"/>
          <w:lang w:val="en-US" w:eastAsia="zh-CN"/>
        </w:rPr>
        <w:t>八市一区</w:t>
      </w:r>
      <w:r>
        <w:rPr>
          <w:rFonts w:hint="eastAsia"/>
          <w:b w:val="0"/>
          <w:bCs/>
          <w:sz w:val="32"/>
          <w:szCs w:val="32"/>
          <w:u w:val="none"/>
          <w:lang w:val="en-US" w:eastAsia="zh-CN"/>
        </w:rPr>
        <w:t>分布情况。</w:t>
      </w:r>
    </w:p>
    <w:p>
      <w:pPr>
        <w:pStyle w:val="2"/>
        <w:rPr>
          <w:rFonts w:hint="eastAsia" w:ascii="楷体_GB2312" w:hAnsi="楷体_GB2312" w:eastAsia="楷体_GB2312" w:cs="楷体_GB2312"/>
          <w:b w:val="0"/>
          <w:bCs/>
          <w:sz w:val="32"/>
          <w:szCs w:val="32"/>
          <w:u w:val="none"/>
          <w:lang w:val="en-US" w:eastAsia="zh-CN"/>
        </w:rPr>
      </w:pPr>
      <w:r>
        <w:rPr>
          <w:rFonts w:hint="eastAsia" w:ascii="仿宋_GB2312" w:hAnsi="仿宋_GB2312" w:cs="仿宋_GB2312"/>
          <w:b w:val="0"/>
          <w:bCs/>
          <w:sz w:val="32"/>
          <w:szCs w:val="32"/>
          <w:u w:val="none"/>
          <w:lang w:val="en-US" w:eastAsia="zh-CN"/>
        </w:rPr>
        <w:t>3.支持消费补贴核销的商户可覆盖全省各市及所属县市区，且能对商户按区域和行业业态进行有效管理。</w:t>
      </w:r>
      <w:r>
        <w:rPr>
          <w:rFonts w:hint="eastAsia" w:ascii="楷体_GB2312" w:hAnsi="楷体_GB2312" w:eastAsia="楷体_GB2312" w:cs="楷体_GB2312"/>
          <w:b w:val="0"/>
          <w:bCs/>
          <w:sz w:val="32"/>
          <w:szCs w:val="32"/>
          <w:u w:val="none"/>
          <w:lang w:val="en-US" w:eastAsia="zh-CN"/>
        </w:rPr>
        <w:t xml:space="preserve">  </w:t>
      </w:r>
    </w:p>
    <w:p>
      <w:pPr>
        <w:pStyle w:val="2"/>
        <w:rPr>
          <w:rFonts w:hint="eastAsia"/>
          <w:b w:val="0"/>
          <w:bCs/>
          <w:sz w:val="32"/>
          <w:szCs w:val="32"/>
          <w:u w:val="none"/>
          <w:lang w:val="en-US" w:eastAsia="zh-CN"/>
        </w:rPr>
      </w:pPr>
      <w:r>
        <w:rPr>
          <w:rFonts w:hint="eastAsia"/>
          <w:b w:val="0"/>
          <w:bCs/>
          <w:sz w:val="32"/>
          <w:szCs w:val="32"/>
          <w:u w:val="none"/>
          <w:lang w:val="en-US" w:eastAsia="zh-CN"/>
        </w:rPr>
        <w:t>（二）具备较强的技术保障能力</w:t>
      </w:r>
    </w:p>
    <w:p>
      <w:pPr>
        <w:pStyle w:val="2"/>
        <w:rPr>
          <w:rFonts w:hint="eastAsia"/>
          <w:b w:val="0"/>
          <w:bCs/>
          <w:sz w:val="32"/>
          <w:szCs w:val="32"/>
          <w:u w:val="none"/>
          <w:lang w:val="en-US" w:eastAsia="zh-CN"/>
        </w:rPr>
      </w:pPr>
      <w:r>
        <w:rPr>
          <w:rFonts w:hint="eastAsia"/>
          <w:b w:val="0"/>
          <w:bCs/>
          <w:sz w:val="32"/>
          <w:szCs w:val="32"/>
          <w:u w:val="none"/>
          <w:lang w:val="en-US" w:eastAsia="zh-CN"/>
        </w:rPr>
        <w:t>1.能够拥有强大的TPS系统处理能力，能够按照活动规则平稳、有序、安全组织消费补贴的发放、核销工作。</w:t>
      </w:r>
    </w:p>
    <w:p>
      <w:pPr>
        <w:pStyle w:val="2"/>
        <w:rPr>
          <w:rFonts w:hint="eastAsia"/>
          <w:b w:val="0"/>
          <w:bCs/>
          <w:sz w:val="32"/>
          <w:szCs w:val="32"/>
          <w:u w:val="none"/>
          <w:lang w:val="en-US" w:eastAsia="zh-CN"/>
        </w:rPr>
      </w:pPr>
      <w:r>
        <w:rPr>
          <w:rFonts w:hint="eastAsia"/>
          <w:b w:val="0"/>
          <w:bCs/>
          <w:sz w:val="32"/>
          <w:szCs w:val="32"/>
          <w:u w:val="none"/>
          <w:lang w:val="en-US" w:eastAsia="zh-CN"/>
        </w:rPr>
        <w:t>2.根据用户手机GPS定位推送可用券商家或商品信息的能力。</w:t>
      </w:r>
    </w:p>
    <w:p>
      <w:pPr>
        <w:pStyle w:val="2"/>
        <w:rPr>
          <w:rFonts w:hint="eastAsia"/>
          <w:b w:val="0"/>
          <w:bCs/>
          <w:sz w:val="32"/>
          <w:szCs w:val="32"/>
          <w:u w:val="none"/>
          <w:lang w:val="en-US" w:eastAsia="zh-CN"/>
        </w:rPr>
      </w:pPr>
      <w:r>
        <w:rPr>
          <w:rFonts w:hint="eastAsia"/>
          <w:b w:val="0"/>
          <w:bCs/>
          <w:sz w:val="32"/>
          <w:szCs w:val="32"/>
          <w:u w:val="none"/>
          <w:lang w:val="en-US" w:eastAsia="zh-CN"/>
        </w:rPr>
        <w:t>（三）具备较强的风险管控能力</w:t>
      </w:r>
    </w:p>
    <w:p>
      <w:pPr>
        <w:pStyle w:val="2"/>
        <w:rPr>
          <w:rFonts w:hint="eastAsia"/>
          <w:b w:val="0"/>
          <w:bCs/>
          <w:sz w:val="32"/>
          <w:szCs w:val="32"/>
          <w:u w:val="none"/>
          <w:lang w:val="en-US" w:eastAsia="zh-CN"/>
        </w:rPr>
      </w:pPr>
      <w:r>
        <w:rPr>
          <w:rFonts w:hint="eastAsia"/>
          <w:b w:val="0"/>
          <w:bCs/>
          <w:sz w:val="32"/>
          <w:szCs w:val="32"/>
          <w:u w:val="none"/>
          <w:lang w:val="en-US" w:eastAsia="zh-CN"/>
        </w:rPr>
        <w:t>具备全流程用户防套利机制、商户防套利识别管控机制介绍；</w:t>
      </w:r>
      <w:r>
        <w:rPr>
          <w:rFonts w:hint="eastAsia" w:ascii="仿宋_GB2312" w:hAnsi="仿宋_GB2312" w:eastAsia="仿宋_GB2312" w:cs="仿宋_GB2312"/>
          <w:b w:val="0"/>
          <w:bCs/>
          <w:i w:val="0"/>
          <w:caps w:val="0"/>
          <w:color w:val="auto"/>
          <w:spacing w:val="0"/>
          <w:sz w:val="32"/>
          <w:szCs w:val="32"/>
          <w:u w:val="none"/>
          <w:shd w:val="clear" w:color="auto" w:fill="FFFFFF"/>
        </w:rPr>
        <w:t>若发生或发现前述情形或迹象</w:t>
      </w:r>
      <w:r>
        <w:rPr>
          <w:rFonts w:hint="eastAsia" w:ascii="仿宋_GB2312" w:hAnsi="仿宋_GB2312" w:cs="仿宋_GB2312"/>
          <w:b w:val="0"/>
          <w:bCs/>
          <w:i w:val="0"/>
          <w:caps w:val="0"/>
          <w:color w:val="auto"/>
          <w:spacing w:val="0"/>
          <w:sz w:val="32"/>
          <w:szCs w:val="32"/>
          <w:u w:val="none"/>
          <w:shd w:val="clear" w:color="auto" w:fill="FFFFFF"/>
          <w:lang w:eastAsia="zh-CN"/>
        </w:rPr>
        <w:t>，如何</w:t>
      </w:r>
      <w:r>
        <w:rPr>
          <w:rFonts w:hint="eastAsia" w:ascii="仿宋_GB2312" w:hAnsi="仿宋_GB2312" w:eastAsia="仿宋_GB2312" w:cs="仿宋_GB2312"/>
          <w:b w:val="0"/>
          <w:bCs/>
          <w:i w:val="0"/>
          <w:caps w:val="0"/>
          <w:color w:val="auto"/>
          <w:spacing w:val="0"/>
          <w:sz w:val="32"/>
          <w:szCs w:val="32"/>
          <w:u w:val="none"/>
          <w:shd w:val="clear" w:color="auto" w:fill="FFFFFF"/>
        </w:rPr>
        <w:t>及时有效处理</w:t>
      </w:r>
      <w:r>
        <w:rPr>
          <w:rFonts w:hint="eastAsia" w:ascii="仿宋_GB2312" w:hAnsi="仿宋_GB2312" w:eastAsia="仿宋_GB2312" w:cs="仿宋_GB2312"/>
          <w:b w:val="0"/>
          <w:bCs/>
          <w:i w:val="0"/>
          <w:caps w:val="0"/>
          <w:color w:val="auto"/>
          <w:spacing w:val="0"/>
          <w:sz w:val="32"/>
          <w:szCs w:val="32"/>
          <w:u w:val="none"/>
          <w:shd w:val="clear" w:color="auto" w:fill="FFFFFF"/>
          <w:lang w:val="en-US" w:eastAsia="zh-CN"/>
        </w:rPr>
        <w:t>，有效确保财政资金安全</w:t>
      </w:r>
    </w:p>
    <w:p>
      <w:pPr>
        <w:pStyle w:val="2"/>
        <w:ind w:left="0" w:leftChars="0" w:firstLine="640" w:firstLineChars="200"/>
        <w:rPr>
          <w:rFonts w:hint="eastAsia"/>
          <w:b w:val="0"/>
          <w:bCs/>
          <w:sz w:val="32"/>
          <w:szCs w:val="32"/>
          <w:u w:val="none"/>
          <w:lang w:val="en-US" w:eastAsia="zh-CN"/>
        </w:rPr>
      </w:pPr>
      <w:r>
        <w:rPr>
          <w:rFonts w:hint="eastAsia"/>
          <w:b w:val="0"/>
          <w:bCs/>
          <w:sz w:val="32"/>
          <w:szCs w:val="32"/>
          <w:u w:val="none"/>
          <w:lang w:val="en-US" w:eastAsia="zh-CN"/>
        </w:rPr>
        <w:t>（四）具备较强的资源整合能力</w:t>
      </w:r>
    </w:p>
    <w:p>
      <w:pPr>
        <w:pStyle w:val="2"/>
        <w:ind w:left="0" w:leftChars="0" w:firstLine="640" w:firstLineChars="200"/>
        <w:rPr>
          <w:rFonts w:hint="eastAsia"/>
          <w:b w:val="0"/>
          <w:bCs/>
          <w:sz w:val="32"/>
          <w:szCs w:val="32"/>
          <w:u w:val="none"/>
          <w:lang w:val="en-US" w:eastAsia="zh-CN"/>
        </w:rPr>
      </w:pPr>
      <w:r>
        <w:rPr>
          <w:rFonts w:hint="eastAsia"/>
          <w:b w:val="0"/>
          <w:bCs/>
          <w:sz w:val="32"/>
          <w:szCs w:val="32"/>
          <w:u w:val="none"/>
          <w:lang w:val="en-US" w:eastAsia="zh-CN"/>
        </w:rPr>
        <w:t>1.能够充分调动相关企业、行业、商户等各方投入资源数量情况及叠加优惠情况，</w:t>
      </w:r>
    </w:p>
    <w:p>
      <w:pPr>
        <w:pStyle w:val="2"/>
        <w:ind w:left="0" w:leftChars="0" w:firstLine="640" w:firstLineChars="200"/>
        <w:rPr>
          <w:rFonts w:hint="eastAsia"/>
          <w:b w:val="0"/>
          <w:bCs/>
          <w:sz w:val="32"/>
          <w:szCs w:val="32"/>
          <w:u w:val="none"/>
          <w:lang w:val="en-US" w:eastAsia="zh-CN"/>
        </w:rPr>
      </w:pPr>
      <w:r>
        <w:rPr>
          <w:rFonts w:hint="eastAsia"/>
          <w:b w:val="0"/>
          <w:bCs/>
          <w:sz w:val="32"/>
          <w:szCs w:val="32"/>
          <w:u w:val="none"/>
          <w:lang w:val="en-US" w:eastAsia="zh-CN"/>
        </w:rPr>
        <w:t>2.能够利用平台自有渠道以及合作渠道配合开展活动宣传资源情况（须同时覆盖线上和线下），</w:t>
      </w:r>
    </w:p>
    <w:p>
      <w:pPr>
        <w:pStyle w:val="2"/>
        <w:ind w:left="0" w:leftChars="0" w:firstLine="640" w:firstLineChars="200"/>
        <w:rPr>
          <w:rFonts w:hint="eastAsia"/>
          <w:b w:val="0"/>
          <w:bCs/>
          <w:sz w:val="32"/>
          <w:szCs w:val="32"/>
          <w:u w:val="none"/>
          <w:lang w:val="en-US" w:eastAsia="zh-CN"/>
        </w:rPr>
      </w:pPr>
      <w:r>
        <w:rPr>
          <w:rFonts w:hint="eastAsia"/>
          <w:b w:val="0"/>
          <w:bCs/>
          <w:sz w:val="32"/>
          <w:szCs w:val="32"/>
          <w:u w:val="none"/>
          <w:lang w:val="en-US" w:eastAsia="zh-CN"/>
        </w:rPr>
        <w:t>（五）具备较强的运营服务能力</w:t>
      </w:r>
    </w:p>
    <w:p>
      <w:pPr>
        <w:pStyle w:val="2"/>
        <w:rPr>
          <w:rFonts w:hint="default"/>
          <w:b w:val="0"/>
          <w:bCs/>
          <w:sz w:val="32"/>
          <w:szCs w:val="32"/>
          <w:u w:val="none"/>
          <w:lang w:val="en-US" w:eastAsia="zh-CN"/>
        </w:rPr>
      </w:pPr>
      <w:r>
        <w:rPr>
          <w:rFonts w:hint="eastAsia"/>
          <w:b w:val="0"/>
          <w:bCs/>
          <w:sz w:val="32"/>
          <w:szCs w:val="32"/>
          <w:u w:val="none"/>
          <w:lang w:val="en-US" w:eastAsia="zh-CN"/>
        </w:rPr>
        <w:t>1.在福建省内具备稳定得力的专业团队为消费补贴发放提供服务保障。</w:t>
      </w:r>
    </w:p>
    <w:p>
      <w:pPr>
        <w:pStyle w:val="2"/>
        <w:rPr>
          <w:rFonts w:hint="eastAsia"/>
          <w:b w:val="0"/>
          <w:bCs/>
          <w:sz w:val="32"/>
          <w:szCs w:val="32"/>
          <w:u w:val="none"/>
          <w:lang w:val="en-US" w:eastAsia="zh-CN"/>
        </w:rPr>
      </w:pPr>
      <w:r>
        <w:rPr>
          <w:rFonts w:hint="eastAsia"/>
          <w:b w:val="0"/>
          <w:bCs/>
          <w:sz w:val="32"/>
          <w:szCs w:val="32"/>
          <w:u w:val="none"/>
          <w:lang w:val="en-US" w:eastAsia="zh-CN"/>
        </w:rPr>
        <w:t>2.具有承接大规模政府补贴发放经验。</w:t>
      </w:r>
    </w:p>
    <w:p>
      <w:pPr>
        <w:pStyle w:val="2"/>
        <w:rPr>
          <w:rFonts w:hint="default"/>
          <w:b w:val="0"/>
          <w:bCs/>
          <w:sz w:val="32"/>
          <w:szCs w:val="32"/>
          <w:u w:val="none"/>
          <w:lang w:val="en-US" w:eastAsia="zh-CN"/>
        </w:rPr>
      </w:pPr>
      <w:r>
        <w:rPr>
          <w:rFonts w:hint="eastAsia"/>
          <w:b w:val="0"/>
          <w:bCs/>
          <w:sz w:val="32"/>
          <w:szCs w:val="32"/>
          <w:u w:val="none"/>
          <w:lang w:val="en-US" w:eastAsia="zh-CN"/>
        </w:rPr>
        <w:t>3.适应主管部门消费补贴发放需要，及时对补贴发放方案进行灵活调整。</w:t>
      </w:r>
    </w:p>
    <w:p>
      <w:pPr>
        <w:pStyle w:val="2"/>
        <w:rPr>
          <w:rFonts w:hint="eastAsia"/>
          <w:b w:val="0"/>
          <w:bCs/>
          <w:sz w:val="32"/>
          <w:szCs w:val="32"/>
          <w:u w:val="none"/>
          <w:lang w:val="en-US" w:eastAsia="zh-CN"/>
        </w:rPr>
      </w:pPr>
      <w:r>
        <w:rPr>
          <w:rFonts w:hint="eastAsia"/>
          <w:b w:val="0"/>
          <w:bCs/>
          <w:sz w:val="32"/>
          <w:szCs w:val="32"/>
          <w:u w:val="none"/>
          <w:lang w:val="en-US" w:eastAsia="zh-CN"/>
        </w:rPr>
        <w:t>（六）具备专业的数据支持服务能力。</w:t>
      </w:r>
    </w:p>
    <w:p>
      <w:pPr>
        <w:pStyle w:val="2"/>
        <w:rPr>
          <w:rFonts w:hint="eastAsia"/>
          <w:b w:val="0"/>
          <w:bCs/>
          <w:sz w:val="32"/>
          <w:szCs w:val="32"/>
          <w:u w:val="none"/>
          <w:lang w:val="en-US" w:eastAsia="zh-CN"/>
        </w:rPr>
      </w:pPr>
      <w:r>
        <w:rPr>
          <w:rFonts w:hint="eastAsia"/>
          <w:b w:val="0"/>
          <w:bCs/>
          <w:sz w:val="32"/>
          <w:szCs w:val="32"/>
          <w:u w:val="none"/>
          <w:lang w:val="en-US" w:eastAsia="zh-CN"/>
        </w:rPr>
        <w:t>平台能够T+1日及时提供较为详尽的消费补贴发放、核销使用等相关监测数据，数据应至少保留3年。</w:t>
      </w:r>
    </w:p>
    <w:p>
      <w:pPr>
        <w:pStyle w:val="2"/>
        <w:numPr>
          <w:ilvl w:val="0"/>
          <w:numId w:val="0"/>
        </w:numPr>
        <w:ind w:firstLine="640" w:firstLineChars="200"/>
        <w:rPr>
          <w:rFonts w:hint="eastAsia"/>
          <w:b w:val="0"/>
          <w:bCs/>
          <w:sz w:val="32"/>
          <w:szCs w:val="32"/>
          <w:u w:val="none"/>
          <w:lang w:val="en-US" w:eastAsia="zh-CN"/>
        </w:rPr>
      </w:pPr>
      <w:r>
        <w:rPr>
          <w:rFonts w:hint="eastAsia"/>
          <w:b w:val="0"/>
          <w:bCs/>
          <w:sz w:val="32"/>
          <w:szCs w:val="32"/>
          <w:u w:val="none"/>
          <w:lang w:val="en-US" w:eastAsia="zh-CN"/>
        </w:rPr>
        <w:t>（七）自觉配合和服从政府部门管理监督，主动配合审计和绩效评价，能够在政府委托第三方机构规定时限内提供审计和绩效评价所需资料。</w:t>
      </w:r>
    </w:p>
    <w:p>
      <w:pPr>
        <w:numPr>
          <w:ilvl w:val="0"/>
          <w:numId w:val="0"/>
        </w:numPr>
        <w:ind w:firstLine="640" w:firstLineChars="200"/>
        <w:rPr>
          <w:rFonts w:hint="eastAsia" w:ascii="华文仿宋" w:hAnsi="华文仿宋" w:eastAsia="仿宋_GB2312" w:cs="Times New Roman"/>
          <w:b w:val="0"/>
          <w:bCs/>
          <w:kern w:val="2"/>
          <w:sz w:val="32"/>
          <w:szCs w:val="32"/>
          <w:u w:val="none"/>
          <w:lang w:val="en-US" w:eastAsia="zh-CN" w:bidi="ar-SA"/>
        </w:rPr>
      </w:pPr>
      <w:r>
        <w:rPr>
          <w:rFonts w:hint="eastAsia" w:ascii="华文仿宋" w:hAnsi="华文仿宋" w:eastAsia="仿宋_GB2312" w:cs="Times New Roman"/>
          <w:b w:val="0"/>
          <w:bCs/>
          <w:kern w:val="2"/>
          <w:sz w:val="32"/>
          <w:szCs w:val="32"/>
          <w:u w:val="none"/>
          <w:lang w:val="en-US" w:eastAsia="zh-CN" w:bidi="ar-SA"/>
        </w:rPr>
        <w:t>（八）能同时接受国内主流银行卡。不得强制消费者在领用补贴过程中新开任何银行账户、购买任何设备以及收取任何费用。</w:t>
      </w:r>
    </w:p>
    <w:p/>
    <w:sectPr>
      <w:pgSz w:w="11906" w:h="16838"/>
      <w:pgMar w:top="1984" w:right="1531" w:bottom="1814" w:left="1531" w:header="851" w:footer="992" w:gutter="0"/>
      <w:cols w:space="0" w:num="1"/>
      <w:rtlGutter w:val="0"/>
      <w:docGrid w:type="lines" w:linePitch="44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D2145"/>
    <w:rsid w:val="330D54D6"/>
    <w:rsid w:val="3E5221DD"/>
    <w:rsid w:val="62BD2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ind w:firstLine="640" w:firstLineChars="200"/>
      <w:jc w:val="left"/>
    </w:pPr>
    <w:rPr>
      <w:rFonts w:ascii="华文仿宋" w:hAnsi="华文仿宋" w:eastAsia="仿宋_GB2312" w:cs="Times New Roman"/>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2024-06-26T09:23:00Z</dcterms:created>
  <dc:creator>lenovo</dc:creator>
  <cp:lastModifiedBy>lenovo</cp:lastModifiedBy>
  <dcterms:modified xsi:type="dcterms:W3CDTF">2024-06-26T09:24:29Z</dcterms:modified>
  <dc:title>附件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