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rPr>
          <w:rFonts w:hint="default" w:ascii="仿宋_GB2312" w:hAnsi="方正小标宋简体" w:eastAsia="楷体_GB2312" w:cs="方正小标宋简体"/>
          <w:bCs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附件1</w:t>
      </w:r>
    </w:p>
    <w:p>
      <w:pPr>
        <w:pStyle w:val="4"/>
        <w:spacing w:line="560" w:lineRule="exact"/>
        <w:rPr>
          <w:rFonts w:ascii="方正小标宋简体" w:hAnsi="方正小标宋简体" w:eastAsia="方正小标宋简体" w:cs="方正小标宋简体"/>
          <w:bCs/>
          <w:sz w:val="40"/>
        </w:rPr>
      </w:pPr>
    </w:p>
    <w:p>
      <w:pPr>
        <w:pStyle w:val="4"/>
        <w:spacing w:line="560" w:lineRule="exact"/>
        <w:rPr>
          <w:rFonts w:ascii="方正小标宋简体" w:hAnsi="方正小标宋简体" w:eastAsia="方正小标宋简体" w:cs="方正小标宋简体"/>
          <w:bCs/>
          <w:sz w:val="40"/>
        </w:rPr>
      </w:pPr>
    </w:p>
    <w:p>
      <w:pPr>
        <w:pStyle w:val="4"/>
        <w:spacing w:line="560" w:lineRule="exact"/>
        <w:jc w:val="center"/>
        <w:rPr>
          <w:b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福建外贸云展会项目申报材料</w:t>
      </w:r>
    </w:p>
    <w:p>
      <w:pPr>
        <w:pStyle w:val="4"/>
        <w:spacing w:line="500" w:lineRule="exact"/>
        <w:rPr>
          <w:rFonts w:hint="default" w:ascii="仿宋" w:hAnsi="仿宋" w:eastAsia="仿宋"/>
          <w:sz w:val="32"/>
        </w:rPr>
      </w:pPr>
    </w:p>
    <w:p>
      <w:pPr>
        <w:pStyle w:val="4"/>
        <w:spacing w:line="500" w:lineRule="exact"/>
        <w:rPr>
          <w:rFonts w:hint="default" w:ascii="仿宋" w:hAnsi="仿宋" w:eastAsia="仿宋"/>
          <w:sz w:val="32"/>
        </w:rPr>
      </w:pPr>
    </w:p>
    <w:p>
      <w:pPr>
        <w:pStyle w:val="4"/>
        <w:spacing w:line="500" w:lineRule="exact"/>
        <w:rPr>
          <w:rFonts w:hint="default" w:ascii="仿宋" w:hAnsi="仿宋" w:eastAsia="仿宋"/>
          <w:sz w:val="32"/>
        </w:rPr>
      </w:pPr>
    </w:p>
    <w:p>
      <w:pPr>
        <w:pStyle w:val="4"/>
        <w:spacing w:line="560" w:lineRule="exact"/>
        <w:ind w:firstLine="321" w:firstLineChars="100"/>
        <w:rPr>
          <w:rFonts w:hint="default" w:ascii="仿宋_GB2312" w:hAnsi="仿宋_GB2312" w:eastAsia="仿宋_GB2312"/>
          <w:b/>
          <w:sz w:val="32"/>
        </w:rPr>
      </w:pPr>
      <w:r>
        <w:rPr>
          <w:rFonts w:ascii="仿宋_GB2312" w:hAnsi="仿宋_GB2312" w:eastAsia="仿宋_GB2312"/>
          <w:b/>
          <w:sz w:val="32"/>
        </w:rPr>
        <w:t>填  报  单  位：</w:t>
      </w:r>
      <w:r>
        <w:rPr>
          <w:rFonts w:ascii="仿宋_GB2312" w:hAnsi="仿宋_GB2312" w:eastAsia="仿宋_GB2312"/>
          <w:b/>
          <w:sz w:val="32"/>
          <w:u w:val="single"/>
        </w:rPr>
        <w:t xml:space="preserve">                                 </w:t>
      </w:r>
    </w:p>
    <w:p>
      <w:pPr>
        <w:pStyle w:val="4"/>
        <w:spacing w:line="560" w:lineRule="exact"/>
        <w:ind w:firstLine="643" w:firstLineChars="200"/>
        <w:rPr>
          <w:rFonts w:hint="default" w:ascii="仿宋_GB2312" w:hAnsi="仿宋_GB2312" w:eastAsia="仿宋_GB2312"/>
          <w:b/>
          <w:sz w:val="32"/>
        </w:rPr>
      </w:pPr>
      <w:r>
        <w:rPr>
          <w:rFonts w:ascii="仿宋_GB2312" w:hAnsi="仿宋_GB2312" w:eastAsia="仿宋_GB2312"/>
          <w:b/>
          <w:sz w:val="32"/>
        </w:rPr>
        <w:t>(加盖公章)</w:t>
      </w:r>
    </w:p>
    <w:p>
      <w:pPr>
        <w:pStyle w:val="4"/>
        <w:spacing w:line="560" w:lineRule="exact"/>
        <w:rPr>
          <w:rFonts w:hint="default" w:ascii="仿宋_GB2312" w:hAnsi="仿宋_GB2312" w:eastAsia="仿宋_GB2312"/>
          <w:b/>
          <w:sz w:val="32"/>
        </w:rPr>
      </w:pPr>
    </w:p>
    <w:p>
      <w:pPr>
        <w:pStyle w:val="4"/>
        <w:spacing w:line="560" w:lineRule="exact"/>
        <w:ind w:firstLine="321" w:firstLineChars="100"/>
        <w:rPr>
          <w:rFonts w:hint="default" w:ascii="仿宋_GB2312" w:hAnsi="仿宋_GB2312" w:eastAsia="仿宋_GB2312"/>
          <w:b/>
          <w:sz w:val="32"/>
          <w:u w:val="single"/>
        </w:rPr>
      </w:pPr>
      <w:r>
        <w:rPr>
          <w:rFonts w:ascii="仿宋_GB2312" w:hAnsi="仿宋_GB2312" w:eastAsia="仿宋_GB2312"/>
          <w:b/>
          <w:sz w:val="32"/>
        </w:rPr>
        <w:t>联    系    人：</w:t>
      </w:r>
      <w:r>
        <w:rPr>
          <w:rFonts w:ascii="仿宋_GB2312" w:hAnsi="仿宋_GB2312" w:eastAsia="仿宋_GB2312"/>
          <w:b/>
          <w:sz w:val="32"/>
          <w:u w:val="single"/>
        </w:rPr>
        <w:t xml:space="preserve">                                 </w:t>
      </w:r>
    </w:p>
    <w:p>
      <w:pPr>
        <w:pStyle w:val="4"/>
        <w:spacing w:line="560" w:lineRule="exact"/>
        <w:rPr>
          <w:rFonts w:hint="default" w:ascii="仿宋_GB2312" w:hAnsi="仿宋_GB2312" w:eastAsia="仿宋_GB2312"/>
          <w:b/>
          <w:sz w:val="32"/>
        </w:rPr>
      </w:pPr>
    </w:p>
    <w:p>
      <w:pPr>
        <w:pStyle w:val="4"/>
        <w:spacing w:line="560" w:lineRule="exact"/>
        <w:ind w:firstLine="321" w:firstLineChars="100"/>
        <w:rPr>
          <w:rFonts w:hint="default" w:ascii="仿宋_GB2312" w:hAnsi="仿宋_GB2312" w:eastAsia="仿宋_GB2312"/>
          <w:b/>
          <w:sz w:val="32"/>
        </w:rPr>
      </w:pPr>
      <w:r>
        <w:rPr>
          <w:rFonts w:ascii="仿宋_GB2312" w:hAnsi="仿宋_GB2312" w:eastAsia="仿宋_GB2312"/>
          <w:b/>
          <w:sz w:val="32"/>
        </w:rPr>
        <w:t>办  公  电  话：</w:t>
      </w:r>
      <w:r>
        <w:rPr>
          <w:rFonts w:ascii="仿宋_GB2312" w:hAnsi="仿宋_GB2312" w:eastAsia="仿宋_GB2312"/>
          <w:b/>
          <w:sz w:val="32"/>
          <w:u w:val="single"/>
        </w:rPr>
        <w:t xml:space="preserve">                                 </w:t>
      </w:r>
    </w:p>
    <w:p>
      <w:pPr>
        <w:pStyle w:val="4"/>
        <w:spacing w:line="560" w:lineRule="exact"/>
        <w:ind w:firstLine="321" w:firstLineChars="100"/>
        <w:rPr>
          <w:rFonts w:hint="default" w:ascii="仿宋_GB2312" w:hAnsi="仿宋_GB2312" w:eastAsia="仿宋_GB2312"/>
          <w:b/>
          <w:sz w:val="32"/>
          <w:u w:val="single"/>
        </w:rPr>
      </w:pPr>
    </w:p>
    <w:p>
      <w:pPr>
        <w:pStyle w:val="4"/>
        <w:spacing w:line="560" w:lineRule="exact"/>
        <w:ind w:firstLine="321" w:firstLineChars="100"/>
        <w:rPr>
          <w:rFonts w:ascii="仿宋_GB2312" w:hAnsi="仿宋_GB2312" w:eastAsia="仿宋_GB2312"/>
          <w:sz w:val="32"/>
          <w:u w:val="single"/>
        </w:rPr>
      </w:pPr>
      <w:r>
        <w:rPr>
          <w:rFonts w:ascii="仿宋_GB2312" w:hAnsi="仿宋_GB2312" w:eastAsia="仿宋_GB2312"/>
          <w:b/>
          <w:sz w:val="32"/>
        </w:rPr>
        <w:t>手          机：</w:t>
      </w:r>
      <w:r>
        <w:rPr>
          <w:rFonts w:ascii="仿宋_GB2312" w:hAnsi="仿宋_GB2312" w:eastAsia="仿宋_GB2312"/>
          <w:b/>
          <w:sz w:val="32"/>
          <w:u w:val="single"/>
        </w:rPr>
        <w:t xml:space="preserve">   </w:t>
      </w:r>
      <w:r>
        <w:rPr>
          <w:rFonts w:ascii="仿宋_GB2312" w:hAnsi="仿宋_GB2312" w:eastAsia="仿宋_GB2312"/>
          <w:sz w:val="32"/>
          <w:u w:val="single"/>
        </w:rPr>
        <w:t xml:space="preserve">                              </w:t>
      </w:r>
    </w:p>
    <w:p>
      <w:pPr>
        <w:pStyle w:val="4"/>
        <w:spacing w:line="560" w:lineRule="exact"/>
        <w:ind w:firstLine="320" w:firstLineChars="100"/>
        <w:rPr>
          <w:rFonts w:ascii="仿宋_GB2312" w:hAnsi="仿宋_GB2312" w:eastAsia="仿宋_GB2312"/>
          <w:sz w:val="32"/>
          <w:u w:val="single"/>
        </w:rPr>
      </w:pPr>
    </w:p>
    <w:p>
      <w:pPr>
        <w:pStyle w:val="4"/>
        <w:spacing w:line="560" w:lineRule="exact"/>
        <w:ind w:firstLine="321" w:firstLineChars="100"/>
        <w:rPr>
          <w:rFonts w:ascii="仿宋_GB2312" w:hAnsi="仿宋_GB2312" w:eastAsia="仿宋_GB2312"/>
          <w:sz w:val="32"/>
          <w:u w:val="single"/>
        </w:rPr>
      </w:pPr>
      <w:r>
        <w:rPr>
          <w:rFonts w:ascii="仿宋_GB2312" w:hAnsi="仿宋_GB2312" w:eastAsia="仿宋_GB2312"/>
          <w:b/>
          <w:sz w:val="32"/>
        </w:rPr>
        <w:t>邮          箱：</w:t>
      </w:r>
      <w:r>
        <w:rPr>
          <w:rFonts w:ascii="仿宋_GB2312" w:hAnsi="仿宋_GB2312" w:eastAsia="仿宋_GB2312"/>
          <w:b/>
          <w:sz w:val="32"/>
          <w:u w:val="single"/>
        </w:rPr>
        <w:t xml:space="preserve">   </w:t>
      </w:r>
      <w:r>
        <w:rPr>
          <w:rFonts w:ascii="仿宋_GB2312" w:hAnsi="仿宋_GB2312" w:eastAsia="仿宋_GB2312"/>
          <w:sz w:val="32"/>
          <w:u w:val="single"/>
        </w:rPr>
        <w:t xml:space="preserve">                              </w:t>
      </w:r>
    </w:p>
    <w:p>
      <w:pPr>
        <w:pStyle w:val="4"/>
        <w:spacing w:line="560" w:lineRule="exact"/>
        <w:ind w:firstLine="320" w:firstLineChars="100"/>
        <w:rPr>
          <w:rFonts w:ascii="仿宋_GB2312" w:hAnsi="仿宋_GB2312" w:eastAsia="仿宋_GB2312"/>
          <w:sz w:val="32"/>
          <w:u w:val="single"/>
        </w:rPr>
      </w:pPr>
    </w:p>
    <w:p>
      <w:pPr>
        <w:pStyle w:val="4"/>
        <w:spacing w:line="560" w:lineRule="exact"/>
        <w:ind w:firstLine="321" w:firstLineChars="100"/>
        <w:rPr>
          <w:rFonts w:hint="default" w:ascii="仿宋_GB2312" w:hAnsi="仿宋_GB2312" w:eastAsia="仿宋_GB2312"/>
          <w:sz w:val="32"/>
          <w:u w:val="single"/>
        </w:rPr>
      </w:pPr>
      <w:r>
        <w:rPr>
          <w:rFonts w:ascii="仿宋_GB2312" w:hAnsi="仿宋_GB2312" w:eastAsia="仿宋_GB2312"/>
          <w:b/>
          <w:sz w:val="32"/>
        </w:rPr>
        <w:t>联  系  地  址：</w:t>
      </w:r>
      <w:r>
        <w:rPr>
          <w:rFonts w:ascii="仿宋_GB2312" w:hAnsi="仿宋_GB2312" w:eastAsia="仿宋_GB2312"/>
          <w:b/>
          <w:sz w:val="32"/>
          <w:u w:val="single"/>
        </w:rPr>
        <w:t xml:space="preserve">                                 </w:t>
      </w:r>
    </w:p>
    <w:p>
      <w:pPr>
        <w:pStyle w:val="4"/>
        <w:spacing w:line="560" w:lineRule="exact"/>
        <w:ind w:firstLine="321" w:firstLineChars="100"/>
        <w:rPr>
          <w:rFonts w:hint="default" w:ascii="仿宋_GB2312" w:hAnsi="仿宋_GB2312" w:eastAsia="仿宋_GB2312"/>
          <w:b/>
          <w:sz w:val="32"/>
        </w:rPr>
      </w:pPr>
    </w:p>
    <w:p>
      <w:pPr>
        <w:spacing w:line="600" w:lineRule="exact"/>
        <w:rPr>
          <w:rFonts w:hint="eastAsia" w:ascii="仿宋_GB2312" w:hAnsi="仿宋_GB2312" w:eastAsia="仿宋_GB2312"/>
          <w:b/>
          <w:sz w:val="32"/>
        </w:rPr>
      </w:pPr>
      <w:r>
        <w:rPr>
          <w:rFonts w:hint="eastAsia" w:ascii="仿宋_GB2312" w:hAnsi="仿宋_GB2312" w:eastAsia="仿宋_GB2312"/>
          <w:b/>
          <w:sz w:val="32"/>
        </w:rPr>
        <w:t xml:space="preserve">  填  报  时  间: </w:t>
      </w:r>
      <w:r>
        <w:rPr>
          <w:rFonts w:hint="eastAsia" w:ascii="仿宋_GB2312" w:hAnsi="仿宋_GB2312" w:eastAsia="仿宋_GB2312"/>
          <w:b/>
          <w:sz w:val="32"/>
          <w:u w:val="single"/>
        </w:rPr>
        <w:t xml:space="preserve">           </w:t>
      </w:r>
      <w:r>
        <w:rPr>
          <w:rFonts w:hint="eastAsia" w:ascii="仿宋_GB2312" w:hAnsi="仿宋_GB2312" w:eastAsia="仿宋_GB2312"/>
          <w:b/>
          <w:sz w:val="32"/>
        </w:rPr>
        <w:t>年</w:t>
      </w:r>
      <w:r>
        <w:rPr>
          <w:rFonts w:hint="eastAsia" w:ascii="仿宋_GB2312" w:hAnsi="仿宋_GB2312" w:eastAsia="仿宋_GB2312"/>
          <w:b/>
          <w:sz w:val="32"/>
          <w:u w:val="single"/>
        </w:rPr>
        <w:t xml:space="preserve">        </w:t>
      </w:r>
      <w:r>
        <w:rPr>
          <w:rFonts w:hint="eastAsia" w:ascii="仿宋_GB2312" w:hAnsi="仿宋_GB2312" w:eastAsia="仿宋_GB2312"/>
          <w:b/>
          <w:sz w:val="32"/>
        </w:rPr>
        <w:t>月</w:t>
      </w:r>
      <w:r>
        <w:rPr>
          <w:rFonts w:hint="eastAsia" w:ascii="仿宋_GB2312" w:hAnsi="仿宋_GB2312" w:eastAsia="仿宋_GB2312"/>
          <w:b/>
          <w:sz w:val="32"/>
          <w:u w:val="single"/>
        </w:rPr>
        <w:t xml:space="preserve">        </w:t>
      </w:r>
      <w:r>
        <w:rPr>
          <w:rFonts w:hint="eastAsia" w:ascii="仿宋_GB2312" w:hAnsi="仿宋_GB2312" w:eastAsia="仿宋_GB2312"/>
          <w:b/>
          <w:sz w:val="32"/>
        </w:rPr>
        <w:t>日</w:t>
      </w:r>
    </w:p>
    <w:p>
      <w:pPr>
        <w:spacing w:line="600" w:lineRule="exact"/>
        <w:rPr>
          <w:rFonts w:hint="eastAsia" w:ascii="仿宋_GB2312" w:hAnsi="仿宋_GB2312" w:eastAsia="仿宋_GB2312"/>
          <w:b/>
          <w:sz w:val="32"/>
        </w:rPr>
      </w:pPr>
    </w:p>
    <w:p>
      <w:pPr>
        <w:spacing w:line="600" w:lineRule="exact"/>
        <w:rPr>
          <w:rFonts w:hint="eastAsia" w:ascii="仿宋_GB2312" w:hAnsi="仿宋_GB2312" w:eastAsia="仿宋_GB2312"/>
          <w:b/>
          <w:sz w:val="32"/>
        </w:rPr>
      </w:pPr>
    </w:p>
    <w:p>
      <w:pPr>
        <w:pStyle w:val="4"/>
        <w:spacing w:line="560" w:lineRule="exact"/>
        <w:rPr>
          <w:rFonts w:ascii="楷体_GB2312" w:hAnsi="楷体_GB2312" w:eastAsia="楷体_GB2312" w:cs="楷体_GB2312"/>
          <w:sz w:val="36"/>
          <w:szCs w:val="36"/>
        </w:rPr>
      </w:pPr>
    </w:p>
    <w:p>
      <w:pPr>
        <w:pStyle w:val="4"/>
        <w:spacing w:line="560" w:lineRule="exact"/>
        <w:rPr>
          <w:rFonts w:ascii="楷体_GB2312" w:hAnsi="楷体_GB2312" w:eastAsia="楷体_GB2312" w:cs="楷体_GB2312"/>
          <w:sz w:val="36"/>
          <w:szCs w:val="36"/>
        </w:rPr>
      </w:pPr>
    </w:p>
    <w:p>
      <w:pPr>
        <w:spacing w:line="600" w:lineRule="exact"/>
        <w:jc w:val="left"/>
        <w:rPr>
          <w:rFonts w:hint="eastAsia" w:ascii="仿宋_GB2312" w:hAnsi="仿宋_GB2312" w:eastAsia="楷体_GB2312" w:cs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附件2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福建外贸云展会项目基本情况表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云展会名称：福建外贸云展会——XXX（主题）专场</w:t>
      </w:r>
    </w:p>
    <w:tbl>
      <w:tblPr>
        <w:tblStyle w:val="3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295"/>
        <w:gridCol w:w="4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928" w:type="dxa"/>
            <w:gridSpan w:val="3"/>
            <w:vAlign w:val="center"/>
          </w:tcPr>
          <w:p>
            <w:pPr>
              <w:spacing w:line="400" w:lineRule="exact"/>
              <w:rPr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拟举办时间（年内）：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（展期5-15天）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是否同意调整时间：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928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参展企业产品类别：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928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与所报云展会主题行业贴合的专业展办展经验: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928" w:type="dxa"/>
            <w:gridSpan w:val="3"/>
            <w:vAlign w:val="center"/>
          </w:tcPr>
          <w:p>
            <w:pPr>
              <w:spacing w:line="400" w:lineRule="exact"/>
              <w:rPr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活动组织境外采购商规模（与行业贴合，不少于1000家）：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928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活动组织福建参展商规模（与行业贴合，不少于100家）：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928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参展企业收费标准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元/场，费用构成（服务内容）：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6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云展会平台情况</w:t>
            </w:r>
          </w:p>
        </w:tc>
        <w:tc>
          <w:tcPr>
            <w:tcW w:w="22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平台建成时间</w:t>
            </w:r>
          </w:p>
        </w:tc>
        <w:tc>
          <w:tcPr>
            <w:tcW w:w="496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平台链接</w:t>
            </w:r>
          </w:p>
        </w:tc>
        <w:tc>
          <w:tcPr>
            <w:tcW w:w="496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平台资质（举例）</w:t>
            </w:r>
          </w:p>
        </w:tc>
        <w:tc>
          <w:tcPr>
            <w:tcW w:w="496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如平台依托原有海外自办展和自办展累积的真实采购商资源、区域采购商资源优势等（可另附纸）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928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活动主要特点/亮点：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（可另附纸）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28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活动预计主要成效：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（可另附纸）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注：云展会主题可为以下一种但不限于</w:t>
      </w:r>
      <w:r>
        <w:rPr>
          <w:rFonts w:hint="eastAsia" w:ascii="仿宋_GB2312" w:hAnsi="仿宋_GB2312" w:eastAsia="仿宋_GB2312" w:cs="仿宋_GB2312"/>
          <w:sz w:val="24"/>
        </w:rPr>
        <w:t>纺织服装、家具建材、鞋类、塑料制品、箱包、玩具、电子电器、汽摩配件、食品药品、化工能源。</w:t>
      </w:r>
    </w:p>
    <w:p>
      <w:pPr>
        <w:pStyle w:val="4"/>
        <w:spacing w:line="580" w:lineRule="exact"/>
        <w:rPr>
          <w:rFonts w:ascii="仿宋_GB2312" w:hAnsi="楷体_GB2312" w:eastAsia="楷体_GB2312" w:cs="楷体_GB2312"/>
          <w:sz w:val="32"/>
          <w:szCs w:val="32"/>
        </w:rPr>
      </w:pPr>
      <w:r>
        <w:rPr>
          <w:rFonts w:ascii="仿宋_GB2312" w:hAnsi="仿宋_GB2312" w:eastAsia="仿宋_GB2312"/>
          <w:b/>
          <w:sz w:val="32"/>
        </w:rPr>
        <w:br w:type="page"/>
      </w:r>
      <w:r>
        <w:rPr>
          <w:rFonts w:ascii="楷体_GB2312" w:hAnsi="楷体_GB2312" w:eastAsia="楷体_GB2312" w:cs="楷体_GB2312"/>
          <w:sz w:val="32"/>
          <w:szCs w:val="32"/>
        </w:rPr>
        <w:t>附件3</w:t>
      </w:r>
    </w:p>
    <w:p>
      <w:pPr>
        <w:tabs>
          <w:tab w:val="left" w:pos="328"/>
        </w:tabs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tabs>
          <w:tab w:val="left" w:pos="328"/>
        </w:tabs>
        <w:spacing w:line="58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福建外贸云展会项目具体方案</w:t>
      </w:r>
    </w:p>
    <w:p>
      <w:pPr>
        <w:tabs>
          <w:tab w:val="left" w:pos="328"/>
        </w:tabs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（目录）</w:t>
      </w:r>
    </w:p>
    <w:p>
      <w:pPr>
        <w:tabs>
          <w:tab w:val="left" w:pos="328"/>
        </w:tabs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（一）承诺函。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承诺报告内容属实，对真实性负责。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能按（附件4）要求，积极配合提供有关参展商和采购商信息、成效情况相关佐证材料及新闻宣传通稿等，为供需双方提供展前预对接，即展前为我省参展企业提供采购商信息（包括但不限于采购商名称、国别、意向采购产品等），收集汇总参展企业对接需求，为有意向对接的参展企业建立采购商沟通渠道（如提供采购商联系方式），提升对接成效。</w:t>
      </w:r>
    </w:p>
    <w:p>
      <w:pPr>
        <w:spacing w:line="580" w:lineRule="exact"/>
        <w:ind w:left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（二）企业情况。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包含但不限于以下内容：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1.线上展会经验。组织或承办线上展会经验、成功案例（列举，自办展优先）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，如参展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商和采购商数量、成交情况、参展企业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收费标准、宣传推广情况、企业参展成效或满意度情况（列举数据）等。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2.与所报云展会主题行业贴合的专业展办展经验、成功案例，</w:t>
      </w:r>
      <w:r>
        <w:rPr>
          <w:rFonts w:hint="eastAsia" w:ascii="仿宋_GB2312" w:hAnsi="仿宋_GB2312" w:eastAsia="仿宋_GB2312" w:cs="仿宋_GB2312"/>
          <w:color w:val="000000"/>
          <w:sz w:val="32"/>
          <w:szCs w:val="40"/>
        </w:rPr>
        <w:t>如组织客商数量、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企业参展成效或满意度情况（列举数据）等。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3.财务状况（含2019年年度经营情况、是否存在债务纠纷等），请至少附上资产负债表、利润表、现金流量表。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4.企业营业执照（复印件）。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（三）云展会活动方案。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包含但不限于以下内容：</w:t>
      </w:r>
    </w:p>
    <w:p>
      <w:pPr>
        <w:numPr>
          <w:ilvl w:val="0"/>
          <w:numId w:val="1"/>
        </w:numPr>
        <w:tabs>
          <w:tab w:val="left" w:pos="1080"/>
          <w:tab w:val="clear" w:pos="1630"/>
        </w:tabs>
        <w:spacing w:line="58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本主题选项的考虑和主要原因。</w:t>
      </w:r>
    </w:p>
    <w:p>
      <w:pPr>
        <w:numPr>
          <w:ilvl w:val="0"/>
          <w:numId w:val="1"/>
        </w:numPr>
        <w:tabs>
          <w:tab w:val="left" w:pos="1080"/>
          <w:tab w:val="clear" w:pos="1630"/>
        </w:tabs>
        <w:spacing w:line="58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云展会配套服务及实施方案，如开幕式、参展商和采购商参展指南及上线指导、展前预对接（为参展商和采购商建立沟通渠道，并提供彼此联系方式，实现精准对接等）、直播间展示、线上“一对一”洽谈、云展会期间24小时人工客服在线和技术支持等。</w:t>
      </w:r>
    </w:p>
    <w:p>
      <w:pPr>
        <w:numPr>
          <w:ilvl w:val="0"/>
          <w:numId w:val="1"/>
        </w:numPr>
        <w:tabs>
          <w:tab w:val="left" w:pos="1080"/>
          <w:tab w:val="clear" w:pos="1630"/>
        </w:tabs>
        <w:spacing w:line="58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明确是云展会专场（仅为福建企业打造的云展会活动）或是云展会专区（全国各省企业参展，其中设立福建专区）。</w:t>
      </w:r>
    </w:p>
    <w:p>
      <w:pPr>
        <w:numPr>
          <w:ilvl w:val="0"/>
          <w:numId w:val="1"/>
        </w:numPr>
        <w:tabs>
          <w:tab w:val="left" w:pos="1080"/>
          <w:tab w:val="clear" w:pos="1630"/>
        </w:tabs>
        <w:spacing w:line="58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活动时间及工作进度安排等。</w:t>
      </w:r>
    </w:p>
    <w:p>
      <w:pPr>
        <w:numPr>
          <w:ilvl w:val="0"/>
          <w:numId w:val="1"/>
        </w:numPr>
        <w:tabs>
          <w:tab w:val="left" w:pos="1080"/>
          <w:tab w:val="clear" w:pos="1630"/>
        </w:tabs>
        <w:spacing w:line="580" w:lineRule="exact"/>
        <w:ind w:left="0"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参展商组织规模和举措，收费情况（含收费提供的服务内容，除基础报价外，如存在增值服务收费项目，请注明）。</w:t>
      </w:r>
    </w:p>
    <w:p>
      <w:pPr>
        <w:numPr>
          <w:ilvl w:val="0"/>
          <w:numId w:val="1"/>
        </w:numPr>
        <w:tabs>
          <w:tab w:val="left" w:pos="1080"/>
          <w:tab w:val="clear" w:pos="1630"/>
        </w:tabs>
        <w:spacing w:line="580" w:lineRule="exact"/>
        <w:ind w:left="0"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采购商组织规模和举措，含预计邀约的采购商名录和采购商质量说明、定向邀约采购商数量和举措等。</w:t>
      </w:r>
    </w:p>
    <w:p>
      <w:pPr>
        <w:numPr>
          <w:ilvl w:val="0"/>
          <w:numId w:val="1"/>
        </w:numPr>
        <w:tabs>
          <w:tab w:val="left" w:pos="1080"/>
          <w:tab w:val="clear" w:pos="1630"/>
        </w:tabs>
        <w:spacing w:line="580" w:lineRule="exact"/>
        <w:ind w:left="0"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预计活动成效，以及有效的评价/证明方式（如总浏览量、询盘量、成交量或成交额等）。</w:t>
      </w:r>
    </w:p>
    <w:p>
      <w:pPr>
        <w:numPr>
          <w:ilvl w:val="0"/>
          <w:numId w:val="1"/>
        </w:numPr>
        <w:tabs>
          <w:tab w:val="left" w:pos="1080"/>
          <w:tab w:val="clear" w:pos="1630"/>
        </w:tabs>
        <w:spacing w:line="58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宣传推广（含推广渠道及推广费用投入、与第三方推广服务机构协议等）、线上相关服务保障（含线上信息安全、知识产权保护等现场服务保障措施，以及企业展示页面包装设计服务等）。</w:t>
      </w:r>
    </w:p>
    <w:p>
      <w:pPr>
        <w:numPr>
          <w:ilvl w:val="0"/>
          <w:numId w:val="1"/>
        </w:numPr>
        <w:tabs>
          <w:tab w:val="left" w:pos="1080"/>
          <w:tab w:val="clear" w:pos="1630"/>
        </w:tabs>
        <w:spacing w:line="58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服务团队情况，含展务和技术团队的人员情况及资质（列举数据、提供专业资质证明）、组织结构、任务分工等。</w:t>
      </w:r>
    </w:p>
    <w:p>
      <w:pPr>
        <w:numPr>
          <w:ilvl w:val="0"/>
          <w:numId w:val="1"/>
        </w:numPr>
        <w:tabs>
          <w:tab w:val="left" w:pos="1080"/>
          <w:tab w:val="clear" w:pos="1630"/>
        </w:tabs>
        <w:spacing w:line="58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其他能证明项目可行性和成效的有关材料或说明。</w:t>
      </w:r>
    </w:p>
    <w:p>
      <w:pPr>
        <w:tabs>
          <w:tab w:val="left" w:pos="1080"/>
        </w:tabs>
        <w:spacing w:line="600" w:lineRule="exact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tabs>
          <w:tab w:val="left" w:pos="1080"/>
        </w:tabs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附件4</w:t>
      </w:r>
    </w:p>
    <w:p>
      <w:pPr>
        <w:tabs>
          <w:tab w:val="left" w:pos="1080"/>
        </w:tabs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1080"/>
        </w:tabs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云展会材料清单</w:t>
      </w:r>
    </w:p>
    <w:p>
      <w:pPr>
        <w:tabs>
          <w:tab w:val="left" w:pos="1080"/>
        </w:tabs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1080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为做好云展会展前宣传、展中核查、展后跟踪等工作，各承办单位需配合提供相关材料：</w:t>
      </w:r>
    </w:p>
    <w:tbl>
      <w:tblPr>
        <w:tblStyle w:val="3"/>
        <w:tblW w:w="83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990"/>
        <w:gridCol w:w="1965"/>
        <w:gridCol w:w="2805"/>
        <w:gridCol w:w="21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时间节点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材料内容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提交期限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备注说明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展前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云展会活动页面网址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开展前一周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参展企业信息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开展前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采购商信息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开展前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至少提供但不限于定向邀约采购商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展前预热宣传稿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开展前3天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包括但不限于客商邀请函、组织情况、活动亮点等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展前预对接情况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开展前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提供预配对的参展企业和采购商信息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展中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首日成效情况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开展后1天内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包括但不限于提供首日客商访问量、洽谈情况等（文字+图片）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云展会后台数据流量截图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每日提供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截图内容含但不限于浏览量、询盘量、客商区域分布等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采购商访问情况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每日提供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内容含但不限于采购商用户名、登录IP、访问次数等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展后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展后新闻通稿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云展会闭幕当天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云展会总体成效、参展企业成效案例等（文字+图片）</w:t>
            </w:r>
          </w:p>
        </w:tc>
      </w:tr>
    </w:tbl>
    <w:p>
      <w:pPr>
        <w:tabs>
          <w:tab w:val="left" w:pos="1080"/>
        </w:tabs>
        <w:spacing w:line="500" w:lineRule="exac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注：承办单位需积极配合省商务厅、省贸促中心开展云展会调研核查工作，除上述材料外，如有工作需要，还应提供其他相关材料。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E5ED2"/>
    <w:multiLevelType w:val="multilevel"/>
    <w:tmpl w:val="344E5ED2"/>
    <w:lvl w:ilvl="0" w:tentative="0">
      <w:start w:val="1"/>
      <w:numFmt w:val="decimal"/>
      <w:lvlText w:val="%1."/>
      <w:lvlJc w:val="left"/>
      <w:pPr>
        <w:tabs>
          <w:tab w:val="left" w:pos="1630"/>
        </w:tabs>
        <w:ind w:left="1630" w:hanging="9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63AE1"/>
    <w:rsid w:val="30F565B9"/>
    <w:rsid w:val="48A6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New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2020-08-07T10:32:00Z</dcterms:created>
  <dc:creator>Administrator</dc:creator>
  <cp:lastModifiedBy>Administrator</cp:lastModifiedBy>
  <dcterms:modified xsi:type="dcterms:W3CDTF">2020-08-07T10:40:19Z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