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福建省人民政府关于推广福建自贸试验区第八批</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可复制创新成果的通知</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闽政〔2020〕9号</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各设区市人民政府、平潭综合实验区管委会，</w:t>
      </w:r>
      <w:bookmarkStart w:id="0" w:name="_GoBack"/>
      <w:bookmarkEnd w:id="0"/>
      <w:r>
        <w:rPr>
          <w:rFonts w:hint="eastAsia" w:ascii="仿宋_GB2312" w:hAnsi="仿宋_GB2312" w:eastAsia="仿宋_GB2312" w:cs="仿宋_GB2312"/>
          <w:sz w:val="32"/>
          <w:szCs w:val="32"/>
          <w:lang w:val="en-US" w:eastAsia="zh-CN"/>
        </w:rPr>
        <w:t>省人民政府各部门、各直属机构: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为进一步发挥福建自贸试验区在全方位推动高质量发展超越中的引领带动作用，经研究，确定福建自贸试验区第八批23项改革创新成果在省内复制推广。现就有关事项通知如下：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一、复制推广主要内容</w:t>
      </w:r>
    </w:p>
    <w:p>
      <w:pPr>
        <w:rPr>
          <w:rFonts w:hint="eastAsia" w:ascii="楷体" w:hAnsi="楷体" w:eastAsia="楷体" w:cs="楷体"/>
          <w:sz w:val="32"/>
          <w:szCs w:val="32"/>
        </w:rPr>
      </w:pPr>
      <w:r>
        <w:rPr>
          <w:rFonts w:hint="eastAsia" w:ascii="仿宋_GB2312" w:hAnsi="仿宋_GB2312" w:eastAsia="仿宋_GB2312" w:cs="仿宋_GB2312"/>
          <w:sz w:val="32"/>
          <w:szCs w:val="32"/>
          <w:lang w:val="en-US" w:eastAsia="zh-CN"/>
        </w:rPr>
        <w:t>　　</w:t>
      </w:r>
      <w:r>
        <w:rPr>
          <w:rFonts w:hint="eastAsia" w:ascii="楷体" w:hAnsi="楷体" w:eastAsia="楷体" w:cs="楷体"/>
          <w:sz w:val="32"/>
          <w:szCs w:val="32"/>
          <w:lang w:val="en-US" w:eastAsia="zh-CN"/>
        </w:rPr>
        <w:t>（一）在全省复制推广的改革创新成果（22项）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1.以加工贸易方式对集成电路研发设计实施保税监管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2.海关特殊监管区域货物外发保税维修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3.优化外贸集装箱“水水”转运监管模式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4.海运国际转运货物“散进集出”监管模式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5.保税仓储商品集中检验分批核放模式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6.出口大宗散装货物“抵港直装”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7.卸船直提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8.危险货物集装箱装箱电子检查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9.海事船舶证书（文书）便利办理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10.《残骸清除责任保险或其他财务保证证书》远程预先审核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11.航运公司安全管理体系审核发证便利化措施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12.台湾渔船停泊点边检管理服务系统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13.社会投资小型工程项目和带规划设计方案出让用地工程项目“7+1”审批机制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14.台湾建筑专业人士在建设工程企业从业考核认定方式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15.食品经营连锁企业“申请人承诺制”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16.远洋渔企跨境外汇集成“快捷通”模式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17.金融跨境业务区块链服务平台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18.设立台胞台企服务专窗（中心）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19.跨部门涉案财物集中管理模式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20.互联网+公证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21.税案“双查”机制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22.知识产权保护保全“两互两共”联动协作</w:t>
      </w:r>
    </w:p>
    <w:p>
      <w:pPr>
        <w:rPr>
          <w:rFonts w:hint="eastAsia" w:ascii="楷体" w:hAnsi="楷体" w:eastAsia="楷体" w:cs="楷体"/>
          <w:sz w:val="32"/>
          <w:szCs w:val="32"/>
        </w:rPr>
      </w:pPr>
      <w:r>
        <w:rPr>
          <w:rFonts w:hint="eastAsia" w:ascii="仿宋_GB2312" w:hAnsi="仿宋_GB2312" w:eastAsia="仿宋_GB2312" w:cs="仿宋_GB2312"/>
          <w:sz w:val="32"/>
          <w:szCs w:val="32"/>
          <w:lang w:val="en-US" w:eastAsia="zh-CN"/>
        </w:rPr>
        <w:t>　　</w:t>
      </w:r>
      <w:r>
        <w:rPr>
          <w:rFonts w:hint="eastAsia" w:ascii="楷体" w:hAnsi="楷体" w:eastAsia="楷体" w:cs="楷体"/>
          <w:sz w:val="32"/>
          <w:szCs w:val="32"/>
          <w:lang w:val="en-US" w:eastAsia="zh-CN"/>
        </w:rPr>
        <w:t>（二）在省内部分区域复制推广的改革创新成果（1项）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23.旅客通关候检智能计时预警</w:t>
      </w:r>
    </w:p>
    <w:p>
      <w:pPr>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二、加强组织实施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楷体" w:hAnsi="楷体" w:eastAsia="楷体" w:cs="楷体"/>
          <w:sz w:val="32"/>
          <w:szCs w:val="32"/>
          <w:lang w:val="en-US" w:eastAsia="zh-CN"/>
        </w:rPr>
        <w:t>（一）切实加强领导。</w:t>
      </w:r>
      <w:r>
        <w:rPr>
          <w:rFonts w:hint="eastAsia" w:ascii="仿宋_GB2312" w:hAnsi="仿宋_GB2312" w:eastAsia="仿宋_GB2312" w:cs="仿宋_GB2312"/>
          <w:sz w:val="32"/>
          <w:szCs w:val="32"/>
          <w:lang w:val="en-US" w:eastAsia="zh-CN"/>
        </w:rPr>
        <w:t>各级各有关单位要深刻认识复制推广自贸试验区创新成果的重要性，将复制推广工作作为本地区本部门重点工作，抓好组织统筹，健全工作机制，压紧压实责任，确保创新成果复制推广落实到位、取得实效。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楷体" w:hAnsi="楷体" w:eastAsia="楷体" w:cs="楷体"/>
          <w:sz w:val="32"/>
          <w:szCs w:val="32"/>
          <w:lang w:val="en-US" w:eastAsia="zh-CN"/>
        </w:rPr>
        <w:t>（二）强化沟通指导。</w:t>
      </w:r>
      <w:r>
        <w:rPr>
          <w:rFonts w:hint="eastAsia" w:ascii="仿宋_GB2312" w:hAnsi="仿宋_GB2312" w:eastAsia="仿宋_GB2312" w:cs="仿宋_GB2312"/>
          <w:sz w:val="32"/>
          <w:szCs w:val="32"/>
          <w:lang w:val="en-US" w:eastAsia="zh-CN"/>
        </w:rPr>
        <w:t>各设区市人民政府、平潭综合实验区管委会要加强与省自贸办和各牵头责任单位的沟通对接，推广过程中遇到的困难和问题，及时上报各牵头责任单位。各牵头责任单位要加强对复制推广工作的业务指导，实时跟踪复制推广情况，及时协调解决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楷体" w:hAnsi="楷体" w:eastAsia="楷体" w:cs="楷体"/>
          <w:sz w:val="32"/>
          <w:szCs w:val="32"/>
          <w:lang w:val="en-US" w:eastAsia="zh-CN"/>
        </w:rPr>
        <w:t>（三）及时总结评估。</w:t>
      </w:r>
      <w:r>
        <w:rPr>
          <w:rFonts w:hint="eastAsia" w:ascii="仿宋_GB2312" w:hAnsi="仿宋_GB2312" w:eastAsia="仿宋_GB2312" w:cs="仿宋_GB2312"/>
          <w:sz w:val="32"/>
          <w:szCs w:val="32"/>
          <w:lang w:val="en-US" w:eastAsia="zh-CN"/>
        </w:rPr>
        <w:t>各牵头责任单位和各设区市人民政府、平潭综合实验区管委会要及时总结评估复制推广情况，总结评估情况每半年报送省自贸办一次。总结评估材料应包括所采取的措施、取得的成效（可量化的指标、推广前后的数据对比等）、存在的困难和问题、进一步深化改革的意见和建议等。省自贸办要及时组织研究，推动改革创新成果释放更多红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p>
    <w:p>
      <w:pPr>
        <w:spacing w:line="596" w:lineRule="exact"/>
        <w:rPr>
          <w:rFonts w:hint="eastAsia" w:ascii="黑体" w:hAnsi="黑体" w:eastAsia="黑体" w:cs="黑体"/>
          <w:color w:val="000000"/>
          <w:sz w:val="31"/>
          <w:szCs w:val="31"/>
        </w:rPr>
      </w:pPr>
      <w:r>
        <w:rPr>
          <w:rFonts w:hint="eastAsia"/>
          <w:lang w:val="en-US" w:eastAsia="zh-CN"/>
        </w:rPr>
        <w:t>　　</w:t>
      </w:r>
      <w:r>
        <w:rPr>
          <w:rFonts w:hint="eastAsia" w:ascii="黑体" w:hAnsi="黑体" w:eastAsia="黑体" w:cs="黑体"/>
          <w:color w:val="000000"/>
          <w:sz w:val="31"/>
          <w:szCs w:val="31"/>
        </w:rPr>
        <w:t>附件</w:t>
      </w:r>
    </w:p>
    <w:p>
      <w:pPr>
        <w:spacing w:line="596" w:lineRule="exact"/>
        <w:rPr>
          <w:rFonts w:hint="eastAsia" w:ascii="方正小标宋简体" w:hAnsi="方正小标宋简体" w:eastAsia="方正小标宋简体"/>
          <w:color w:val="000000"/>
          <w:sz w:val="40"/>
          <w:szCs w:val="44"/>
        </w:rPr>
      </w:pPr>
    </w:p>
    <w:p>
      <w:pPr>
        <w:spacing w:line="596" w:lineRule="exact"/>
        <w:jc w:val="center"/>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福建自贸试验区第八批创新成果复制推广</w:t>
      </w:r>
    </w:p>
    <w:p>
      <w:pPr>
        <w:spacing w:line="596" w:lineRule="exact"/>
        <w:jc w:val="center"/>
        <w:rPr>
          <w:rFonts w:hint="eastAsia" w:ascii="方正小标宋简体" w:hAnsi="方正小标宋简体" w:eastAsia="方正小标宋简体" w:cs="方正小标宋简体"/>
          <w:bCs/>
          <w:color w:val="000000"/>
          <w:sz w:val="40"/>
          <w:szCs w:val="40"/>
        </w:rPr>
      </w:pPr>
      <w:r>
        <w:rPr>
          <w:rFonts w:hint="eastAsia" w:ascii="方正小标宋简体" w:hAnsi="方正小标宋简体" w:eastAsia="方正小标宋简体" w:cs="方正小标宋简体"/>
          <w:bCs/>
          <w:color w:val="000000"/>
          <w:sz w:val="40"/>
          <w:szCs w:val="40"/>
        </w:rPr>
        <w:t>任务分工表</w:t>
      </w:r>
    </w:p>
    <w:p>
      <w:pPr>
        <w:spacing w:line="596" w:lineRule="exact"/>
        <w:rPr>
          <w:rFonts w:hint="eastAsia" w:ascii="方正小标宋简体" w:hAnsi="方正小标宋简体" w:eastAsia="方正小标宋简体" w:cs="方正小标宋简体"/>
          <w:bCs/>
          <w:color w:val="000000"/>
          <w:sz w:val="40"/>
          <w:szCs w:val="40"/>
        </w:rPr>
      </w:pPr>
    </w:p>
    <w:tbl>
      <w:tblPr>
        <w:tblStyle w:val="5"/>
        <w:tblW w:w="10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7"/>
        <w:gridCol w:w="7260"/>
        <w:gridCol w:w="703"/>
        <w:gridCol w:w="105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tblHeader/>
          <w:jc w:val="center"/>
        </w:trPr>
        <w:tc>
          <w:tcPr>
            <w:tcW w:w="727" w:type="dxa"/>
            <w:shd w:val="clear" w:color="auto" w:fill="auto"/>
            <w:vAlign w:val="center"/>
          </w:tcPr>
          <w:p>
            <w:pPr>
              <w:spacing w:line="360" w:lineRule="exact"/>
              <w:jc w:val="center"/>
              <w:rPr>
                <w:rFonts w:hint="eastAsia" w:ascii="黑体" w:hAnsi="黑体" w:eastAsia="黑体" w:cs="黑体"/>
                <w:bCs/>
                <w:color w:val="000000"/>
                <w:sz w:val="24"/>
              </w:rPr>
            </w:pPr>
            <w:r>
              <w:rPr>
                <w:rFonts w:hint="eastAsia" w:ascii="黑体" w:hAnsi="黑体" w:eastAsia="黑体" w:cs="黑体"/>
                <w:bCs/>
                <w:color w:val="000000"/>
                <w:sz w:val="24"/>
              </w:rPr>
              <w:t>编号</w:t>
            </w:r>
          </w:p>
        </w:tc>
        <w:tc>
          <w:tcPr>
            <w:tcW w:w="7260" w:type="dxa"/>
            <w:shd w:val="clear" w:color="auto" w:fill="auto"/>
            <w:vAlign w:val="center"/>
          </w:tcPr>
          <w:p>
            <w:pPr>
              <w:spacing w:line="360" w:lineRule="exact"/>
              <w:jc w:val="center"/>
              <w:rPr>
                <w:rFonts w:hint="eastAsia" w:ascii="黑体" w:hAnsi="黑体" w:eastAsia="黑体" w:cs="黑体"/>
                <w:bCs/>
                <w:color w:val="000000"/>
                <w:sz w:val="24"/>
              </w:rPr>
            </w:pPr>
            <w:r>
              <w:rPr>
                <w:rFonts w:hint="eastAsia" w:ascii="黑体" w:hAnsi="黑体" w:eastAsia="黑体" w:cs="黑体"/>
                <w:bCs/>
                <w:color w:val="000000"/>
                <w:sz w:val="24"/>
              </w:rPr>
              <w:t>主要做法或操作规程</w:t>
            </w:r>
          </w:p>
        </w:tc>
        <w:tc>
          <w:tcPr>
            <w:tcW w:w="703" w:type="dxa"/>
            <w:shd w:val="clear" w:color="auto" w:fill="auto"/>
            <w:vAlign w:val="center"/>
          </w:tcPr>
          <w:p>
            <w:pPr>
              <w:spacing w:line="360" w:lineRule="exact"/>
              <w:jc w:val="center"/>
              <w:rPr>
                <w:rFonts w:hint="eastAsia" w:ascii="黑体" w:hAnsi="黑体" w:eastAsia="黑体" w:cs="黑体"/>
                <w:bCs/>
                <w:color w:val="000000"/>
                <w:sz w:val="24"/>
              </w:rPr>
            </w:pPr>
            <w:r>
              <w:rPr>
                <w:rFonts w:hint="eastAsia" w:ascii="黑体" w:hAnsi="黑体" w:eastAsia="黑体" w:cs="黑体"/>
                <w:bCs/>
                <w:color w:val="000000"/>
                <w:sz w:val="24"/>
              </w:rPr>
              <w:t>已实施区域</w:t>
            </w:r>
          </w:p>
        </w:tc>
        <w:tc>
          <w:tcPr>
            <w:tcW w:w="1050" w:type="dxa"/>
            <w:shd w:val="clear" w:color="auto" w:fill="auto"/>
            <w:vAlign w:val="center"/>
          </w:tcPr>
          <w:p>
            <w:pPr>
              <w:spacing w:line="360" w:lineRule="exact"/>
              <w:jc w:val="center"/>
              <w:rPr>
                <w:rFonts w:hint="eastAsia" w:ascii="黑体" w:hAnsi="黑体" w:eastAsia="黑体" w:cs="黑体"/>
                <w:bCs/>
                <w:color w:val="000000"/>
                <w:sz w:val="24"/>
              </w:rPr>
            </w:pPr>
            <w:r>
              <w:rPr>
                <w:rFonts w:hint="eastAsia" w:ascii="黑体" w:hAnsi="黑体" w:eastAsia="黑体" w:cs="黑体"/>
                <w:bCs/>
                <w:color w:val="000000"/>
                <w:sz w:val="24"/>
              </w:rPr>
              <w:t>推广</w:t>
            </w:r>
          </w:p>
          <w:p>
            <w:pPr>
              <w:spacing w:line="360" w:lineRule="exact"/>
              <w:jc w:val="center"/>
              <w:rPr>
                <w:rFonts w:hint="eastAsia" w:ascii="黑体" w:hAnsi="黑体" w:eastAsia="黑体" w:cs="黑体"/>
                <w:bCs/>
                <w:color w:val="000000"/>
                <w:sz w:val="24"/>
              </w:rPr>
            </w:pPr>
            <w:r>
              <w:rPr>
                <w:rFonts w:hint="eastAsia" w:ascii="黑体" w:hAnsi="黑体" w:eastAsia="黑体" w:cs="黑体"/>
                <w:bCs/>
                <w:color w:val="000000"/>
                <w:sz w:val="24"/>
              </w:rPr>
              <w:t>区域</w:t>
            </w:r>
          </w:p>
        </w:tc>
        <w:tc>
          <w:tcPr>
            <w:tcW w:w="1161" w:type="dxa"/>
            <w:shd w:val="clear" w:color="auto" w:fill="auto"/>
            <w:vAlign w:val="center"/>
          </w:tcPr>
          <w:p>
            <w:pPr>
              <w:spacing w:line="360" w:lineRule="exact"/>
              <w:jc w:val="center"/>
              <w:rPr>
                <w:rFonts w:hint="eastAsia" w:ascii="黑体" w:hAnsi="黑体" w:eastAsia="黑体" w:cs="黑体"/>
                <w:bCs/>
                <w:color w:val="000000"/>
                <w:sz w:val="24"/>
              </w:rPr>
            </w:pPr>
            <w:r>
              <w:rPr>
                <w:rFonts w:hint="eastAsia" w:ascii="黑体" w:hAnsi="黑体" w:eastAsia="黑体" w:cs="黑体"/>
                <w:bCs/>
                <w:color w:val="000000"/>
                <w:sz w:val="24"/>
              </w:rPr>
              <w:t>牵头责任单位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1</w:t>
            </w:r>
          </w:p>
        </w:tc>
        <w:tc>
          <w:tcPr>
            <w:tcW w:w="7260" w:type="dxa"/>
            <w:shd w:val="clear" w:color="auto" w:fill="auto"/>
            <w:vAlign w:val="center"/>
          </w:tcPr>
          <w:p>
            <w:pPr>
              <w:pStyle w:val="7"/>
              <w:tabs>
                <w:tab w:val="left" w:pos="8427"/>
              </w:tabs>
              <w:snapToGrid w:val="0"/>
              <w:spacing w:line="360" w:lineRule="exac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以加工贸易方式对集成电路研发设计实施保税监管。</w:t>
            </w:r>
            <w:r>
              <w:rPr>
                <w:rFonts w:hint="eastAsia" w:ascii="仿宋_GB2312" w:hAnsi="仿宋_GB2312" w:cs="仿宋_GB2312"/>
                <w:color w:val="000000"/>
                <w:kern w:val="0"/>
                <w:sz w:val="24"/>
              </w:rPr>
              <w:t>第三方平台企业办理加工贸易手册备案，接受集成电路保税研发检测企业委托，将集成电路设计方案交付境外加工企业进行流片制造，制造完成的测试用晶圆片以加工贸易方式保税进口，以外发加工方式发往研发检测企业。检测后，将晶圆片返回平台企业，完成退运出境、销毁或内销征税手续</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福州海关</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2</w:t>
            </w:r>
          </w:p>
        </w:tc>
        <w:tc>
          <w:tcPr>
            <w:tcW w:w="7260" w:type="dxa"/>
            <w:shd w:val="clear" w:color="auto" w:fill="auto"/>
            <w:vAlign w:val="center"/>
          </w:tcPr>
          <w:p>
            <w:pPr>
              <w:pStyle w:val="7"/>
              <w:tabs>
                <w:tab w:val="left" w:pos="8427"/>
              </w:tabs>
              <w:snapToGrid w:val="0"/>
              <w:spacing w:line="360" w:lineRule="exac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海关特殊监管区域货物外发保税维修。</w:t>
            </w:r>
            <w:r>
              <w:rPr>
                <w:rFonts w:hint="eastAsia" w:ascii="仿宋_GB2312" w:hAnsi="仿宋_GB2312" w:cs="仿宋_GB2312"/>
                <w:color w:val="000000"/>
                <w:kern w:val="0"/>
                <w:sz w:val="24"/>
              </w:rPr>
              <w:t>海关对区内企业需要委托区外企业进行外发维修的保税和免税货物，免予担保；海关为区外维修企业设立保税维修手册，对外发维修货物和维修所需的进口料件实施保税监管，待外发维修货物返区后予以免税核销</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both"/>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福州海关</w:t>
            </w:r>
            <w:r>
              <w:rPr>
                <w:rFonts w:hint="eastAsia" w:ascii="仿宋_GB2312" w:hAnsi="仿宋_GB2312" w:eastAsia="仿宋_GB2312" w:cs="仿宋_GB2312"/>
                <w:color w:val="000000"/>
                <w:kern w:val="0"/>
                <w:sz w:val="24"/>
              </w:rPr>
              <w:t>厦门海关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3</w:t>
            </w:r>
          </w:p>
        </w:tc>
        <w:tc>
          <w:tcPr>
            <w:tcW w:w="7260" w:type="dxa"/>
            <w:shd w:val="clear" w:color="auto" w:fill="auto"/>
            <w:vAlign w:val="center"/>
          </w:tcPr>
          <w:p>
            <w:pPr>
              <w:pStyle w:val="7"/>
              <w:tabs>
                <w:tab w:val="left" w:pos="8427"/>
              </w:tabs>
              <w:snapToGrid w:val="0"/>
              <w:spacing w:line="360" w:lineRule="exac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优化外贸集装箱“水水”转运监管模式。</w:t>
            </w:r>
            <w:r>
              <w:rPr>
                <w:rFonts w:hint="eastAsia" w:ascii="仿宋_GB2312" w:hAnsi="仿宋_GB2312" w:cs="仿宋_GB2312"/>
                <w:color w:val="000000"/>
                <w:kern w:val="0"/>
                <w:sz w:val="24"/>
              </w:rPr>
              <w:t>符合海关监管要求的外贸集装箱专业码头之间可以相互转运进出境的集装箱货物，给予进出口企业更大的选择权，促进外贸内支线航线发展，增加港区外贸集装箱吞吐量</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福州海关</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4</w:t>
            </w:r>
          </w:p>
        </w:tc>
        <w:tc>
          <w:tcPr>
            <w:tcW w:w="7260" w:type="dxa"/>
            <w:shd w:val="clear" w:color="auto" w:fill="auto"/>
            <w:vAlign w:val="center"/>
          </w:tcPr>
          <w:p>
            <w:pPr>
              <w:pStyle w:val="7"/>
              <w:tabs>
                <w:tab w:val="left" w:pos="8427"/>
              </w:tabs>
              <w:snapToGrid w:val="0"/>
              <w:spacing w:line="360" w:lineRule="exact"/>
              <w:jc w:val="lef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海运国际转运货物“散进集出”监管模式。</w:t>
            </w:r>
            <w:r>
              <w:rPr>
                <w:rFonts w:hint="eastAsia" w:ascii="仿宋_GB2312" w:hAnsi="仿宋_GB2312" w:cs="仿宋_GB2312"/>
                <w:color w:val="000000"/>
                <w:kern w:val="0"/>
                <w:sz w:val="24"/>
              </w:rPr>
              <w:t>海关通过对舱单数据、货物实际信息、专用库位信息、放行信息等的监管，以及货物装箱和在途实际监管，形成“散进集出”物流链监管的闭合回路，以利于海运国际转运货物以散杂方式通过国内港口，改装集装箱运往世界各地</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福州海关</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spacing w:val="-6"/>
                <w:sz w:val="24"/>
              </w:rPr>
            </w:pPr>
            <w:r>
              <w:rPr>
                <w:rFonts w:hint="eastAsia" w:ascii="仿宋_GB2312" w:hAnsi="仿宋_GB2312" w:cs="仿宋_GB2312"/>
                <w:color w:val="000000"/>
                <w:spacing w:val="-6"/>
                <w:sz w:val="24"/>
              </w:rPr>
              <w:t>5</w:t>
            </w:r>
          </w:p>
        </w:tc>
        <w:tc>
          <w:tcPr>
            <w:tcW w:w="7260" w:type="dxa"/>
            <w:shd w:val="clear" w:color="auto" w:fill="auto"/>
            <w:vAlign w:val="center"/>
          </w:tcPr>
          <w:p>
            <w:pPr>
              <w:pStyle w:val="7"/>
              <w:tabs>
                <w:tab w:val="left" w:pos="8427"/>
              </w:tabs>
              <w:snapToGrid w:val="0"/>
              <w:spacing w:line="360" w:lineRule="exact"/>
              <w:textAlignment w:val="top"/>
              <w:rPr>
                <w:rFonts w:hint="eastAsia" w:ascii="仿宋_GB2312" w:hAnsi="仿宋_GB2312" w:cs="仿宋_GB2312"/>
                <w:color w:val="000000"/>
                <w:spacing w:val="-6"/>
                <w:sz w:val="24"/>
              </w:rPr>
            </w:pPr>
            <w:r>
              <w:rPr>
                <w:rFonts w:hint="eastAsia" w:ascii="仿宋_GB2312" w:hAnsi="仿宋_GB2312" w:cs="仿宋_GB2312"/>
                <w:b/>
                <w:color w:val="000000"/>
                <w:spacing w:val="-6"/>
                <w:sz w:val="24"/>
              </w:rPr>
              <w:t>保税仓储商品集中检验分批核放模式。</w:t>
            </w:r>
            <w:r>
              <w:rPr>
                <w:rFonts w:hint="eastAsia" w:ascii="仿宋_GB2312" w:hAnsi="仿宋_GB2312" w:cs="仿宋_GB2312"/>
                <w:color w:val="000000"/>
                <w:spacing w:val="-6"/>
                <w:sz w:val="24"/>
              </w:rPr>
              <w:t>对保税仓储的各类商品，根据企业申请，实施商品保税仓储期间一次抽样预检验，分批出区时核销放行的监管模式，实现出区即报即放</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福州片区</w:t>
            </w:r>
          </w:p>
          <w:p>
            <w:pPr>
              <w:widowControl/>
              <w:spacing w:line="36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kern w:val="0"/>
                <w:sz w:val="24"/>
              </w:rPr>
              <w:t>厦门片区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福州海关</w:t>
            </w:r>
          </w:p>
          <w:p>
            <w:pPr>
              <w:widowControl/>
              <w:spacing w:line="36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kern w:val="0"/>
                <w:sz w:val="24"/>
              </w:rPr>
              <w:t>厦门海关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6</w:t>
            </w:r>
          </w:p>
        </w:tc>
        <w:tc>
          <w:tcPr>
            <w:tcW w:w="7260" w:type="dxa"/>
            <w:shd w:val="clear" w:color="auto" w:fill="auto"/>
            <w:vAlign w:val="center"/>
          </w:tcPr>
          <w:p>
            <w:pPr>
              <w:pStyle w:val="7"/>
              <w:tabs>
                <w:tab w:val="left" w:pos="8427"/>
              </w:tabs>
              <w:snapToGrid w:val="0"/>
              <w:spacing w:line="360" w:lineRule="exact"/>
              <w:jc w:val="lef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出口大宗散装货物“抵港直装”。</w:t>
            </w:r>
            <w:r>
              <w:rPr>
                <w:rFonts w:hint="eastAsia" w:ascii="仿宋_GB2312" w:hAnsi="仿宋_GB2312" w:cs="仿宋_GB2312"/>
                <w:color w:val="000000"/>
                <w:kern w:val="0"/>
                <w:sz w:val="24"/>
              </w:rPr>
              <w:t>出口大宗散装货物部分运至承载船舶时，企业就可向海关监管系统发送运抵报告，并办理通关手续。在货物全数运至承载船舶的过程中，海关同步安排查验等监管工作</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福州海关</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7</w:t>
            </w:r>
          </w:p>
        </w:tc>
        <w:tc>
          <w:tcPr>
            <w:tcW w:w="7260" w:type="dxa"/>
            <w:shd w:val="clear" w:color="auto" w:fill="auto"/>
            <w:vAlign w:val="center"/>
          </w:tcPr>
          <w:p>
            <w:pPr>
              <w:pStyle w:val="7"/>
              <w:tabs>
                <w:tab w:val="left" w:pos="8427"/>
              </w:tabs>
              <w:snapToGrid w:val="0"/>
              <w:spacing w:line="360" w:lineRule="exact"/>
              <w:jc w:val="lef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卸船直提。</w:t>
            </w:r>
            <w:r>
              <w:rPr>
                <w:rFonts w:hint="eastAsia" w:ascii="仿宋_GB2312" w:hAnsi="仿宋_GB2312" w:cs="仿宋_GB2312"/>
                <w:color w:val="000000"/>
                <w:kern w:val="0"/>
                <w:sz w:val="24"/>
              </w:rPr>
              <w:t>进口企业通过国际贸易“单一窗口”提前报关，并登陆集装箱智慧物流平台和码头网上营业厅安排拖车和进口重箱提箱预约，实现快速提货</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福州海关</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8</w:t>
            </w:r>
          </w:p>
        </w:tc>
        <w:tc>
          <w:tcPr>
            <w:tcW w:w="7260" w:type="dxa"/>
            <w:shd w:val="clear" w:color="auto" w:fill="auto"/>
            <w:vAlign w:val="center"/>
          </w:tcPr>
          <w:p>
            <w:pPr>
              <w:pStyle w:val="7"/>
              <w:widowControl/>
              <w:tabs>
                <w:tab w:val="left" w:pos="8427"/>
              </w:tabs>
              <w:snapToGrid w:val="0"/>
              <w:spacing w:line="360" w:lineRule="exact"/>
              <w:jc w:val="left"/>
              <w:textAlignment w:val="top"/>
              <w:rPr>
                <w:rFonts w:hint="eastAsia" w:ascii="仿宋_GB2312" w:hAnsi="仿宋_GB2312" w:cs="仿宋_GB2312"/>
                <w:b/>
                <w:color w:val="000000"/>
                <w:kern w:val="0"/>
                <w:sz w:val="24"/>
              </w:rPr>
            </w:pPr>
            <w:r>
              <w:rPr>
                <w:rFonts w:hint="eastAsia" w:ascii="仿宋_GB2312" w:hAnsi="仿宋_GB2312" w:cs="仿宋_GB2312"/>
                <w:b/>
                <w:color w:val="000000"/>
                <w:kern w:val="0"/>
                <w:sz w:val="24"/>
              </w:rPr>
              <w:t>危险货物集装箱装箱电子检查。</w:t>
            </w:r>
            <w:r>
              <w:rPr>
                <w:rFonts w:hint="eastAsia" w:ascii="仿宋_GB2312" w:hAnsi="仿宋_GB2312" w:cs="仿宋_GB2312"/>
                <w:color w:val="000000"/>
                <w:kern w:val="0"/>
                <w:sz w:val="24"/>
              </w:rPr>
              <w:t>以危险货物集装箱装箱电子检查，替代现场监督检查</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福建海事局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9</w:t>
            </w:r>
          </w:p>
        </w:tc>
        <w:tc>
          <w:tcPr>
            <w:tcW w:w="7260" w:type="dxa"/>
            <w:shd w:val="clear" w:color="auto" w:fill="auto"/>
            <w:vAlign w:val="center"/>
          </w:tcPr>
          <w:p>
            <w:pPr>
              <w:pStyle w:val="7"/>
              <w:widowControl/>
              <w:tabs>
                <w:tab w:val="left" w:pos="8427"/>
              </w:tabs>
              <w:snapToGrid w:val="0"/>
              <w:spacing w:line="360" w:lineRule="exact"/>
              <w:jc w:val="left"/>
              <w:textAlignment w:val="top"/>
              <w:rPr>
                <w:rFonts w:hint="eastAsia" w:ascii="仿宋_GB2312" w:hAnsi="仿宋_GB2312" w:cs="仿宋_GB2312"/>
                <w:b/>
                <w:color w:val="000000"/>
                <w:kern w:val="0"/>
                <w:sz w:val="24"/>
              </w:rPr>
            </w:pPr>
            <w:r>
              <w:rPr>
                <w:rFonts w:hint="eastAsia" w:ascii="仿宋_GB2312" w:hAnsi="仿宋_GB2312" w:cs="仿宋_GB2312"/>
                <w:b/>
                <w:color w:val="000000"/>
                <w:kern w:val="0"/>
                <w:sz w:val="24"/>
              </w:rPr>
              <w:t>海事船舶证书（文书）便利办理。</w:t>
            </w:r>
            <w:r>
              <w:rPr>
                <w:rFonts w:hint="eastAsia" w:ascii="仿宋_GB2312" w:hAnsi="仿宋_GB2312" w:cs="仿宋_GB2312"/>
                <w:color w:val="000000"/>
                <w:kern w:val="0"/>
                <w:sz w:val="24"/>
              </w:rPr>
              <w:t>增加并联办理的海事船舶证书（文书）项目，给予网上办理、无纸化审批、容缺办理、免于提交部分材料等便利</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福州片区</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平潭片区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福建海事局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10</w:t>
            </w:r>
          </w:p>
        </w:tc>
        <w:tc>
          <w:tcPr>
            <w:tcW w:w="7260" w:type="dxa"/>
            <w:shd w:val="clear" w:color="auto" w:fill="auto"/>
            <w:vAlign w:val="center"/>
          </w:tcPr>
          <w:p>
            <w:pPr>
              <w:pStyle w:val="7"/>
              <w:tabs>
                <w:tab w:val="left" w:pos="8427"/>
              </w:tabs>
              <w:snapToGrid w:val="0"/>
              <w:spacing w:line="360" w:lineRule="exac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《残骸清除责任保险或其他财务保证证书》远程预先审核。</w:t>
            </w:r>
            <w:r>
              <w:rPr>
                <w:rFonts w:hint="eastAsia" w:ascii="仿宋_GB2312" w:hAnsi="仿宋_GB2312" w:cs="仿宋_GB2312"/>
                <w:color w:val="000000"/>
                <w:kern w:val="0"/>
                <w:sz w:val="24"/>
              </w:rPr>
              <w:t>申请人远程线上提交书面申请材料的电子文档，经海事指定人员在线预审通过后，现场提交原件纸质申请材料并领取证书</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福州片区</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平潭片区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福建海事局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11</w:t>
            </w:r>
          </w:p>
        </w:tc>
        <w:tc>
          <w:tcPr>
            <w:tcW w:w="7260" w:type="dxa"/>
            <w:shd w:val="clear" w:color="auto" w:fill="auto"/>
            <w:vAlign w:val="center"/>
          </w:tcPr>
          <w:p>
            <w:pPr>
              <w:pStyle w:val="7"/>
              <w:tabs>
                <w:tab w:val="left" w:pos="8427"/>
              </w:tabs>
              <w:snapToGrid w:val="0"/>
              <w:spacing w:line="360" w:lineRule="exact"/>
              <w:jc w:val="left"/>
              <w:textAlignment w:val="top"/>
              <w:rPr>
                <w:rFonts w:hint="eastAsia" w:ascii="仿宋_GB2312" w:hAnsi="仿宋_GB2312" w:cs="仿宋_GB2312"/>
                <w:b/>
                <w:color w:val="000000"/>
                <w:kern w:val="0"/>
                <w:sz w:val="24"/>
              </w:rPr>
            </w:pPr>
            <w:r>
              <w:rPr>
                <w:rFonts w:hint="eastAsia" w:ascii="仿宋_GB2312" w:hAnsi="仿宋_GB2312" w:cs="仿宋_GB2312"/>
                <w:b/>
                <w:color w:val="000000"/>
                <w:kern w:val="0"/>
                <w:sz w:val="24"/>
              </w:rPr>
              <w:t>航运公司安全管理体系审核发证便利化措施。</w:t>
            </w:r>
            <w:r>
              <w:rPr>
                <w:rFonts w:hint="eastAsia" w:ascii="仿宋_GB2312" w:hAnsi="仿宋_GB2312" w:cs="仿宋_GB2312"/>
                <w:color w:val="000000"/>
                <w:kern w:val="0"/>
                <w:sz w:val="24"/>
              </w:rPr>
              <w:t>航运公司及其管理的船舶通过安全管理体系临时审核的，当场发证；注册地转至福建自贸试验区的，免于安全管理体系审核</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福建自贸试验区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福建海事局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12</w:t>
            </w:r>
          </w:p>
        </w:tc>
        <w:tc>
          <w:tcPr>
            <w:tcW w:w="7260" w:type="dxa"/>
            <w:shd w:val="clear" w:color="auto" w:fill="auto"/>
            <w:vAlign w:val="center"/>
          </w:tcPr>
          <w:p>
            <w:pPr>
              <w:pStyle w:val="7"/>
              <w:tabs>
                <w:tab w:val="left" w:pos="8427"/>
              </w:tabs>
              <w:snapToGrid w:val="0"/>
              <w:spacing w:line="360" w:lineRule="exact"/>
              <w:textAlignment w:val="top"/>
              <w:rPr>
                <w:rFonts w:hint="eastAsia" w:ascii="仿宋_GB2312" w:hAnsi="仿宋_GB2312" w:cs="仿宋_GB2312"/>
                <w:b/>
                <w:color w:val="000000"/>
                <w:kern w:val="0"/>
                <w:sz w:val="24"/>
              </w:rPr>
            </w:pPr>
            <w:r>
              <w:rPr>
                <w:rFonts w:hint="eastAsia" w:ascii="仿宋_GB2312" w:hAnsi="仿宋_GB2312" w:cs="仿宋_GB2312"/>
                <w:b/>
                <w:color w:val="000000"/>
                <w:kern w:val="0"/>
                <w:sz w:val="24"/>
              </w:rPr>
              <w:t>台湾渔船停泊点边检管理服务系统。</w:t>
            </w:r>
            <w:r>
              <w:rPr>
                <w:rFonts w:hint="eastAsia" w:ascii="仿宋_GB2312" w:hAnsi="仿宋_GB2312" w:cs="仿宋_GB2312"/>
                <w:color w:val="000000"/>
                <w:kern w:val="0"/>
                <w:sz w:val="24"/>
              </w:rPr>
              <w:t>依托微信公众服务平台，启用边检管理服务系统，提供台湾渔船出入境申报、结果反馈、边检行政许可办理线上服务，实现台轮边检业务掌上实时办</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厦门片区</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平潭片区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厦门边检总站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13</w:t>
            </w:r>
          </w:p>
        </w:tc>
        <w:tc>
          <w:tcPr>
            <w:tcW w:w="7260" w:type="dxa"/>
            <w:shd w:val="clear" w:color="auto" w:fill="auto"/>
            <w:vAlign w:val="center"/>
          </w:tcPr>
          <w:p>
            <w:pPr>
              <w:pStyle w:val="7"/>
              <w:tabs>
                <w:tab w:val="left" w:pos="8427"/>
              </w:tabs>
              <w:snapToGrid w:val="0"/>
              <w:spacing w:line="360" w:lineRule="exact"/>
              <w:textAlignment w:val="top"/>
              <w:rPr>
                <w:rFonts w:hint="eastAsia" w:ascii="仿宋_GB2312" w:hAnsi="仿宋_GB2312" w:cs="仿宋_GB2312"/>
                <w:b/>
                <w:color w:val="000000"/>
                <w:kern w:val="0"/>
                <w:sz w:val="24"/>
              </w:rPr>
            </w:pPr>
            <w:r>
              <w:rPr>
                <w:rFonts w:hint="eastAsia" w:ascii="仿宋_GB2312" w:hAnsi="仿宋_GB2312" w:cs="仿宋_GB2312"/>
                <w:b/>
                <w:color w:val="000000"/>
                <w:kern w:val="0"/>
                <w:sz w:val="24"/>
              </w:rPr>
              <w:t>社会投资小型工程项目和带规划设计方案出让用地工程项目“7+1”审批机制。</w:t>
            </w:r>
            <w:r>
              <w:rPr>
                <w:rFonts w:hint="eastAsia" w:ascii="仿宋_GB2312" w:hAnsi="仿宋_GB2312" w:cs="仿宋_GB2312"/>
                <w:color w:val="000000"/>
                <w:kern w:val="0"/>
                <w:sz w:val="24"/>
              </w:rPr>
              <w:t>推行“7个清单和1个咨询室”，为社会投资小型工程项目和带规划设计方案出让用地工程项目，从立项到竣工验收所涉及的所有审批服务事项提供便利。7个清单即：《六类建设项目保留事项清单》《取消的审批服务事项清单》《取消的申请材料清单》《豁免审批服务事项清单》《合并办理事项清单》《中介服务事项清单》和《告知承诺制的审批服务事项目录》。1个咨询室即：项目审批协调咨询室</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省住建厅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14</w:t>
            </w:r>
          </w:p>
        </w:tc>
        <w:tc>
          <w:tcPr>
            <w:tcW w:w="7260" w:type="dxa"/>
            <w:shd w:val="clear" w:color="auto" w:fill="auto"/>
            <w:vAlign w:val="center"/>
          </w:tcPr>
          <w:p>
            <w:pPr>
              <w:pStyle w:val="7"/>
              <w:widowControl/>
              <w:tabs>
                <w:tab w:val="left" w:pos="8427"/>
              </w:tabs>
              <w:snapToGrid w:val="0"/>
              <w:spacing w:line="360" w:lineRule="exact"/>
              <w:jc w:val="lef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台湾建筑专业人士在建设工程企业从业考核认定方式。</w:t>
            </w:r>
            <w:r>
              <w:rPr>
                <w:rFonts w:hint="eastAsia" w:ascii="仿宋_GB2312" w:hAnsi="仿宋_GB2312" w:cs="仿宋_GB2312"/>
                <w:color w:val="000000"/>
                <w:kern w:val="0"/>
                <w:sz w:val="24"/>
              </w:rPr>
              <w:t>与台湾建筑专业人士订立劳动合同的企业，其申报建设工程企业资质及建筑施工企业安全生产许可证时，允许通过提供劳动合同、企业工资支付凭证及相关纳税证明等材料替代社会保险等证明材料</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省住建厅</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省人社厅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spacing w:val="-6"/>
                <w:sz w:val="24"/>
              </w:rPr>
            </w:pPr>
            <w:r>
              <w:rPr>
                <w:rFonts w:hint="eastAsia" w:ascii="仿宋_GB2312" w:hAnsi="仿宋_GB2312" w:cs="仿宋_GB2312"/>
                <w:color w:val="000000"/>
                <w:kern w:val="0"/>
                <w:sz w:val="24"/>
              </w:rPr>
              <w:t>15</w:t>
            </w:r>
          </w:p>
        </w:tc>
        <w:tc>
          <w:tcPr>
            <w:tcW w:w="7260" w:type="dxa"/>
            <w:shd w:val="clear" w:color="auto" w:fill="auto"/>
            <w:vAlign w:val="center"/>
          </w:tcPr>
          <w:p>
            <w:pPr>
              <w:pStyle w:val="7"/>
              <w:widowControl/>
              <w:tabs>
                <w:tab w:val="left" w:pos="8427"/>
              </w:tabs>
              <w:snapToGrid w:val="0"/>
              <w:spacing w:line="360" w:lineRule="exact"/>
              <w:jc w:val="lef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食品经营连锁企业“申请人承诺制”。</w:t>
            </w:r>
            <w:r>
              <w:rPr>
                <w:rFonts w:hint="eastAsia" w:ascii="仿宋_GB2312" w:hAnsi="仿宋_GB2312" w:cs="仿宋_GB2312"/>
                <w:color w:val="000000"/>
                <w:kern w:val="0"/>
                <w:sz w:val="24"/>
              </w:rPr>
              <w:t>符合一定条件的食品连锁经营企业可提出“申请人承诺制”申请，经市场监督管理部门审查通过后，对新开设门店免于现场核查，直接核发食品经营许可证</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30" w:lineRule="exact"/>
              <w:jc w:val="center"/>
              <w:textAlignment w:val="top"/>
              <w:rPr>
                <w:rFonts w:hint="eastAsia" w:ascii="仿宋_GB2312" w:hAnsi="仿宋_GB2312" w:cs="仿宋_GB2312"/>
                <w:color w:val="000000"/>
                <w:spacing w:val="-6"/>
                <w:sz w:val="24"/>
              </w:rPr>
            </w:pPr>
            <w:r>
              <w:rPr>
                <w:rFonts w:hint="eastAsia" w:ascii="仿宋_GB2312" w:hAnsi="仿宋_GB2312" w:cs="仿宋_GB2312"/>
                <w:color w:val="000000"/>
                <w:spacing w:val="-6"/>
                <w:sz w:val="24"/>
              </w:rPr>
              <w:t>16</w:t>
            </w:r>
          </w:p>
        </w:tc>
        <w:tc>
          <w:tcPr>
            <w:tcW w:w="7260" w:type="dxa"/>
            <w:shd w:val="clear" w:color="auto" w:fill="auto"/>
            <w:vAlign w:val="center"/>
          </w:tcPr>
          <w:p>
            <w:pPr>
              <w:pStyle w:val="7"/>
              <w:widowControl/>
              <w:tabs>
                <w:tab w:val="left" w:pos="8427"/>
              </w:tabs>
              <w:snapToGrid w:val="0"/>
              <w:spacing w:line="330" w:lineRule="exact"/>
              <w:jc w:val="left"/>
              <w:textAlignment w:val="top"/>
              <w:rPr>
                <w:rFonts w:hint="eastAsia" w:ascii="仿宋_GB2312" w:hAnsi="仿宋_GB2312" w:cs="仿宋_GB2312"/>
                <w:b/>
                <w:color w:val="000000"/>
                <w:spacing w:val="-6"/>
                <w:sz w:val="24"/>
              </w:rPr>
            </w:pPr>
            <w:r>
              <w:rPr>
                <w:rFonts w:hint="eastAsia" w:ascii="仿宋_GB2312" w:hAnsi="仿宋_GB2312" w:cs="仿宋_GB2312"/>
                <w:b/>
                <w:color w:val="000000"/>
                <w:spacing w:val="-6"/>
                <w:sz w:val="24"/>
              </w:rPr>
              <w:t>远洋渔企跨境外汇集成“快捷通”模式。</w:t>
            </w:r>
            <w:r>
              <w:rPr>
                <w:rFonts w:hint="eastAsia" w:ascii="仿宋_GB2312" w:hAnsi="仿宋_GB2312" w:cs="仿宋_GB2312"/>
                <w:color w:val="000000"/>
                <w:spacing w:val="-6"/>
                <w:sz w:val="24"/>
              </w:rPr>
              <w:t>简化收汇审核程序，允许企业一次性提交年度委托销售款合同，由银行定期审核企业核心单据和出口总量；支持企业办理资本项下境外直投业务登记</w:t>
            </w:r>
          </w:p>
        </w:tc>
        <w:tc>
          <w:tcPr>
            <w:tcW w:w="703" w:type="dxa"/>
            <w:shd w:val="clear" w:color="auto" w:fill="auto"/>
            <w:vAlign w:val="center"/>
          </w:tcPr>
          <w:p>
            <w:pPr>
              <w:pStyle w:val="7"/>
              <w:widowControl/>
              <w:tabs>
                <w:tab w:val="left" w:pos="8427"/>
              </w:tabs>
              <w:snapToGrid w:val="0"/>
              <w:spacing w:line="330" w:lineRule="exact"/>
              <w:jc w:val="center"/>
              <w:textAlignment w:val="top"/>
              <w:rPr>
                <w:rFonts w:hint="eastAsia" w:ascii="仿宋_GB2312" w:hAnsi="仿宋_GB2312" w:cs="仿宋_GB2312"/>
                <w:color w:val="000000"/>
                <w:spacing w:val="-6"/>
                <w:sz w:val="24"/>
              </w:rPr>
            </w:pPr>
            <w:r>
              <w:rPr>
                <w:rFonts w:hint="eastAsia" w:ascii="仿宋_GB2312" w:hAnsi="仿宋_GB2312" w:cs="仿宋_GB2312"/>
                <w:color w:val="000000"/>
                <w:kern w:val="0"/>
                <w:sz w:val="24"/>
              </w:rPr>
              <w:t>福州片区</w:t>
            </w:r>
          </w:p>
        </w:tc>
        <w:tc>
          <w:tcPr>
            <w:tcW w:w="1050"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人行福州中心支行</w:t>
            </w:r>
          </w:p>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人行厦门市中心支行</w:t>
            </w:r>
          </w:p>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省外汇局</w:t>
            </w:r>
          </w:p>
          <w:p>
            <w:pPr>
              <w:widowControl/>
              <w:spacing w:line="33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kern w:val="0"/>
                <w:sz w:val="24"/>
              </w:rPr>
              <w:t>厦门市外汇局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7260" w:type="dxa"/>
            <w:shd w:val="clear" w:color="auto" w:fill="auto"/>
            <w:vAlign w:val="center"/>
          </w:tcPr>
          <w:p>
            <w:pPr>
              <w:pStyle w:val="7"/>
              <w:tabs>
                <w:tab w:val="left" w:pos="8427"/>
              </w:tabs>
              <w:snapToGrid w:val="0"/>
              <w:spacing w:line="330" w:lineRule="exact"/>
              <w:textAlignment w:val="top"/>
              <w:rPr>
                <w:rFonts w:hint="eastAsia" w:ascii="仿宋_GB2312" w:hAnsi="仿宋_GB2312" w:cs="仿宋_GB2312"/>
                <w:b/>
                <w:color w:val="000000"/>
                <w:kern w:val="0"/>
                <w:sz w:val="24"/>
              </w:rPr>
            </w:pPr>
            <w:r>
              <w:rPr>
                <w:rFonts w:hint="eastAsia" w:ascii="仿宋_GB2312" w:hAnsi="仿宋_GB2312" w:cs="仿宋_GB2312"/>
                <w:b/>
                <w:color w:val="000000"/>
                <w:kern w:val="0"/>
                <w:sz w:val="24"/>
              </w:rPr>
              <w:t>金融跨境业务区块链服务平台。</w:t>
            </w:r>
            <w:r>
              <w:rPr>
                <w:rFonts w:hint="eastAsia" w:ascii="仿宋_GB2312" w:hAnsi="仿宋_GB2312" w:cs="仿宋_GB2312"/>
                <w:color w:val="000000"/>
                <w:kern w:val="0"/>
                <w:sz w:val="24"/>
              </w:rPr>
              <w:t>区块链服务平台以“出口应收账款融资”作为业务场景，为银行办理企业融资申请提供报关单真实性验证服务，确保数据安全可靠</w:t>
            </w:r>
          </w:p>
        </w:tc>
        <w:tc>
          <w:tcPr>
            <w:tcW w:w="703" w:type="dxa"/>
            <w:shd w:val="clear" w:color="auto" w:fill="auto"/>
            <w:vAlign w:val="center"/>
          </w:tcPr>
          <w:p>
            <w:pPr>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福州片区</w:t>
            </w:r>
          </w:p>
        </w:tc>
        <w:tc>
          <w:tcPr>
            <w:tcW w:w="1050"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人行福州中心支行</w:t>
            </w:r>
          </w:p>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人行厦门市中心支行</w:t>
            </w:r>
          </w:p>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省外汇局</w:t>
            </w:r>
          </w:p>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厦门市外汇局</w:t>
            </w:r>
          </w:p>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福建银保监局</w:t>
            </w:r>
          </w:p>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3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18</w:t>
            </w:r>
          </w:p>
        </w:tc>
        <w:tc>
          <w:tcPr>
            <w:tcW w:w="7260" w:type="dxa"/>
            <w:shd w:val="clear" w:color="auto" w:fill="auto"/>
            <w:vAlign w:val="center"/>
          </w:tcPr>
          <w:p>
            <w:pPr>
              <w:pStyle w:val="7"/>
              <w:tabs>
                <w:tab w:val="left" w:pos="8427"/>
              </w:tabs>
              <w:snapToGrid w:val="0"/>
              <w:spacing w:line="330" w:lineRule="exact"/>
              <w:jc w:val="lef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设立台胞台企服务专窗（中心）。</w:t>
            </w:r>
            <w:r>
              <w:rPr>
                <w:rFonts w:hint="eastAsia" w:ascii="仿宋_GB2312" w:hAnsi="仿宋_GB2312" w:cs="仿宋_GB2312"/>
                <w:color w:val="000000"/>
                <w:kern w:val="0"/>
                <w:sz w:val="24"/>
              </w:rPr>
              <w:t>组建“一站式”台胞台企服务专窗（中心），实行“一口受理、集成服务”，服务功能覆盖相关行政审批及公共服务事项</w:t>
            </w:r>
          </w:p>
        </w:tc>
        <w:tc>
          <w:tcPr>
            <w:tcW w:w="703"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平潭片区</w:t>
            </w:r>
          </w:p>
        </w:tc>
        <w:tc>
          <w:tcPr>
            <w:tcW w:w="1050"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省台港澳办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3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19</w:t>
            </w:r>
          </w:p>
        </w:tc>
        <w:tc>
          <w:tcPr>
            <w:tcW w:w="7260" w:type="dxa"/>
            <w:shd w:val="clear" w:color="auto" w:fill="auto"/>
            <w:vAlign w:val="center"/>
          </w:tcPr>
          <w:p>
            <w:pPr>
              <w:pStyle w:val="7"/>
              <w:tabs>
                <w:tab w:val="left" w:pos="8427"/>
              </w:tabs>
              <w:snapToGrid w:val="0"/>
              <w:spacing w:line="330" w:lineRule="exac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跨部门涉案财物集中管理模式。</w:t>
            </w:r>
            <w:r>
              <w:rPr>
                <w:rFonts w:hint="eastAsia" w:ascii="仿宋_GB2312" w:hAnsi="仿宋_GB2312" w:cs="仿宋_GB2312"/>
                <w:color w:val="000000"/>
                <w:kern w:val="0"/>
                <w:sz w:val="24"/>
              </w:rPr>
              <w:t>将刑事、行政案件涉案财物纳入集中管理，引入合作企业高标准建设涉案财物存储专业仓库，针对不同类别、风险级别的涉案财物进行分库管理、集约处置。打通公安部门、法院、检察院、财政部门信息化管理网络，建设统一的涉案财物数据库，实现“实物集中保管、信息随案流转”</w:t>
            </w:r>
          </w:p>
        </w:tc>
        <w:tc>
          <w:tcPr>
            <w:tcW w:w="703"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厦门片区</w:t>
            </w:r>
          </w:p>
        </w:tc>
        <w:tc>
          <w:tcPr>
            <w:tcW w:w="1050"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省公安厅</w:t>
            </w:r>
          </w:p>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省法院</w:t>
            </w:r>
          </w:p>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省检察院</w:t>
            </w:r>
          </w:p>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3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20</w:t>
            </w:r>
          </w:p>
        </w:tc>
        <w:tc>
          <w:tcPr>
            <w:tcW w:w="7260" w:type="dxa"/>
            <w:shd w:val="clear" w:color="auto" w:fill="auto"/>
            <w:vAlign w:val="center"/>
          </w:tcPr>
          <w:p>
            <w:pPr>
              <w:pStyle w:val="7"/>
              <w:tabs>
                <w:tab w:val="left" w:pos="8427"/>
              </w:tabs>
              <w:snapToGrid w:val="0"/>
              <w:spacing w:line="330" w:lineRule="exact"/>
              <w:textAlignment w:val="top"/>
              <w:rPr>
                <w:rFonts w:hint="eastAsia" w:ascii="仿宋_GB2312" w:hAnsi="仿宋_GB2312" w:cs="仿宋_GB2312"/>
                <w:color w:val="000000"/>
                <w:kern w:val="0"/>
                <w:sz w:val="24"/>
              </w:rPr>
            </w:pPr>
            <w:r>
              <w:rPr>
                <w:rFonts w:hint="eastAsia" w:ascii="仿宋_GB2312" w:hAnsi="仿宋_GB2312" w:cs="仿宋_GB2312"/>
                <w:b/>
                <w:color w:val="000000"/>
                <w:kern w:val="0"/>
                <w:sz w:val="24"/>
              </w:rPr>
              <w:t>互联网+公证。</w:t>
            </w:r>
            <w:r>
              <w:rPr>
                <w:rFonts w:hint="eastAsia" w:ascii="仿宋_GB2312" w:hAnsi="仿宋_GB2312" w:cs="仿宋_GB2312"/>
                <w:color w:val="000000"/>
                <w:kern w:val="0"/>
                <w:sz w:val="24"/>
              </w:rPr>
              <w:t xml:space="preserve">应用公证远程受理系统，实现远程交流、身份确认、远程受理、线上审批、制证和发证等全流程公证服务。依托云平台全流程在线自助完成电子数据的提取、固定、存储及公证申请手续，在线出具、核验电子公证书。建设多方联动的信息化平台，形成以公证调解为牵引，衔接人民调解、行政调解、司法调解等多元调解力量  </w:t>
            </w:r>
          </w:p>
        </w:tc>
        <w:tc>
          <w:tcPr>
            <w:tcW w:w="703"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厦门片区</w:t>
            </w:r>
          </w:p>
        </w:tc>
        <w:tc>
          <w:tcPr>
            <w:tcW w:w="1050"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3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省司法厅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21</w:t>
            </w:r>
          </w:p>
        </w:tc>
        <w:tc>
          <w:tcPr>
            <w:tcW w:w="7260" w:type="dxa"/>
            <w:shd w:val="clear" w:color="auto" w:fill="auto"/>
            <w:vAlign w:val="center"/>
          </w:tcPr>
          <w:p>
            <w:pPr>
              <w:pStyle w:val="7"/>
              <w:tabs>
                <w:tab w:val="left" w:pos="8427"/>
              </w:tabs>
              <w:snapToGrid w:val="0"/>
              <w:spacing w:line="360" w:lineRule="exact"/>
              <w:textAlignment w:val="top"/>
              <w:rPr>
                <w:rFonts w:hint="eastAsia" w:ascii="仿宋_GB2312" w:hAnsi="仿宋_GB2312" w:cs="仿宋_GB2312"/>
                <w:b/>
                <w:color w:val="000000"/>
                <w:kern w:val="0"/>
                <w:sz w:val="24"/>
              </w:rPr>
            </w:pPr>
            <w:r>
              <w:rPr>
                <w:rFonts w:hint="eastAsia" w:ascii="仿宋_GB2312" w:hAnsi="仿宋_GB2312" w:cs="仿宋_GB2312"/>
                <w:b/>
                <w:color w:val="000000"/>
                <w:kern w:val="0"/>
                <w:sz w:val="24"/>
              </w:rPr>
              <w:t>税案“双查”机制。</w:t>
            </w:r>
            <w:r>
              <w:rPr>
                <w:rFonts w:hint="eastAsia" w:ascii="仿宋_GB2312" w:hAnsi="仿宋_GB2312" w:cs="仿宋_GB2312"/>
                <w:color w:val="000000"/>
                <w:kern w:val="0"/>
                <w:sz w:val="24"/>
              </w:rPr>
              <w:t>检察院、公安部门和税务部门联动开展税案审查工作，实行税案行政处罚、刑事立案“双线审查”。在税务机关开展重大税案行政处罚的同时，对有重要犯罪证据且公安部门如不及时介入可能造成证据灭失、战机贻误的案源，公安部门可提前介入开展研判侦查，检察院对涉税犯罪证据进行指引</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平潭片区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省检察院</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省公安厅</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省税务局</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22</w:t>
            </w:r>
          </w:p>
        </w:tc>
        <w:tc>
          <w:tcPr>
            <w:tcW w:w="7260" w:type="dxa"/>
            <w:shd w:val="clear" w:color="auto" w:fill="auto"/>
            <w:vAlign w:val="center"/>
          </w:tcPr>
          <w:p>
            <w:pPr>
              <w:pStyle w:val="7"/>
              <w:tabs>
                <w:tab w:val="left" w:pos="8427"/>
              </w:tabs>
              <w:snapToGrid w:val="0"/>
              <w:spacing w:line="360" w:lineRule="exact"/>
              <w:textAlignment w:val="top"/>
              <w:rPr>
                <w:rFonts w:hint="eastAsia" w:ascii="仿宋_GB2312" w:hAnsi="仿宋_GB2312" w:cs="仿宋_GB2312"/>
                <w:b/>
                <w:color w:val="000000"/>
                <w:kern w:val="0"/>
                <w:sz w:val="24"/>
              </w:rPr>
            </w:pPr>
            <w:r>
              <w:rPr>
                <w:rFonts w:hint="eastAsia" w:ascii="仿宋_GB2312" w:hAnsi="仿宋_GB2312" w:cs="仿宋_GB2312"/>
                <w:b/>
                <w:color w:val="000000"/>
                <w:kern w:val="0"/>
                <w:sz w:val="24"/>
              </w:rPr>
              <w:t>知识产权保护保全“两互两共”联动协作。</w:t>
            </w:r>
            <w:r>
              <w:rPr>
                <w:rFonts w:hint="eastAsia" w:ascii="仿宋_GB2312" w:hAnsi="仿宋_GB2312" w:cs="仿宋_GB2312"/>
                <w:color w:val="000000"/>
                <w:kern w:val="0"/>
                <w:sz w:val="24"/>
              </w:rPr>
              <w:t>“信息互通”，法院受理侵权诉讼或作出保全措施时，及时将相关案件生效文书等信息通报送达海关。“执法互助”，海关积极协助法院扣押或保全涉嫌侵权货物，法院对查封、扣押的进出口侵权货物进行拍卖变卖前，责令当事人先予办理缴纳税款、检验检疫等海关手续。“信用共管”，海关按规定与法院开展联合惩戒。“社会共治”，海关与法院协同开展交流研讨和法制宣传</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全省</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福州海关</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厦门海关</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727" w:type="dxa"/>
            <w:shd w:val="clear" w:color="auto" w:fill="auto"/>
            <w:vAlign w:val="center"/>
          </w:tcPr>
          <w:p>
            <w:pPr>
              <w:pStyle w:val="7"/>
              <w:tabs>
                <w:tab w:val="left" w:pos="8427"/>
              </w:tabs>
              <w:snapToGrid w:val="0"/>
              <w:spacing w:line="360" w:lineRule="exact"/>
              <w:jc w:val="center"/>
              <w:textAlignment w:val="top"/>
              <w:rPr>
                <w:rFonts w:hint="eastAsia" w:ascii="仿宋_GB2312" w:hAnsi="仿宋_GB2312" w:cs="仿宋_GB2312"/>
                <w:color w:val="000000"/>
                <w:kern w:val="0"/>
                <w:sz w:val="24"/>
              </w:rPr>
            </w:pPr>
            <w:r>
              <w:rPr>
                <w:rFonts w:hint="eastAsia" w:ascii="仿宋_GB2312" w:hAnsi="仿宋_GB2312" w:cs="仿宋_GB2312"/>
                <w:color w:val="000000"/>
                <w:kern w:val="0"/>
                <w:sz w:val="24"/>
              </w:rPr>
              <w:t>23</w:t>
            </w:r>
          </w:p>
        </w:tc>
        <w:tc>
          <w:tcPr>
            <w:tcW w:w="7260" w:type="dxa"/>
            <w:shd w:val="clear" w:color="auto" w:fill="auto"/>
            <w:vAlign w:val="center"/>
          </w:tcPr>
          <w:p>
            <w:pPr>
              <w:pStyle w:val="7"/>
              <w:tabs>
                <w:tab w:val="left" w:pos="8427"/>
              </w:tabs>
              <w:snapToGrid w:val="0"/>
              <w:spacing w:line="360" w:lineRule="exact"/>
              <w:jc w:val="left"/>
              <w:textAlignment w:val="top"/>
              <w:rPr>
                <w:rFonts w:hint="eastAsia" w:ascii="仿宋_GB2312" w:hAnsi="仿宋_GB2312" w:cs="仿宋_GB2312"/>
                <w:b/>
                <w:color w:val="000000"/>
                <w:kern w:val="0"/>
                <w:sz w:val="24"/>
              </w:rPr>
            </w:pPr>
            <w:r>
              <w:rPr>
                <w:rFonts w:hint="eastAsia" w:ascii="仿宋_GB2312" w:hAnsi="仿宋_GB2312" w:cs="仿宋_GB2312"/>
                <w:b/>
                <w:color w:val="000000"/>
                <w:kern w:val="0"/>
                <w:sz w:val="24"/>
              </w:rPr>
              <w:t>旅客通关候检智能计时预警。</w:t>
            </w:r>
            <w:r>
              <w:rPr>
                <w:rFonts w:hint="eastAsia" w:ascii="仿宋_GB2312" w:hAnsi="仿宋_GB2312" w:cs="仿宋_GB2312"/>
                <w:color w:val="000000"/>
                <w:kern w:val="0"/>
                <w:sz w:val="24"/>
              </w:rPr>
              <w:t>在候检通道入口、出口适当位置架设若干人脸摄像机，动态抓拍旅客进、出通道人脸照片后传输至后端，由系统运算识别并计算出旅客的精确候检时间，对超过设定值，系统自动预警，提示增开通道，加派人手，有效提高旅客出入境通关效率</w:t>
            </w:r>
          </w:p>
        </w:tc>
        <w:tc>
          <w:tcPr>
            <w:tcW w:w="703"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厦门片区</w:t>
            </w:r>
          </w:p>
        </w:tc>
        <w:tc>
          <w:tcPr>
            <w:tcW w:w="1050"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福州市</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厦门市</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泉州市</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宁德市</w:t>
            </w:r>
          </w:p>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平潭综合实验区</w:t>
            </w:r>
          </w:p>
        </w:tc>
        <w:tc>
          <w:tcPr>
            <w:tcW w:w="1161" w:type="dxa"/>
            <w:shd w:val="clear" w:color="auto" w:fill="auto"/>
            <w:vAlign w:val="center"/>
          </w:tcPr>
          <w:p>
            <w:pPr>
              <w:widowControl/>
              <w:spacing w:line="3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厦门边检总站</w:t>
            </w:r>
          </w:p>
        </w:tc>
      </w:tr>
    </w:tbl>
    <w:p>
      <w:pPr>
        <w:rPr>
          <w:color w:val="000000"/>
        </w:rPr>
      </w:pPr>
    </w:p>
    <w:p/>
    <w:p>
      <w:pPr>
        <w:rPr>
          <w:rFonts w:hint="eastAsi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23083"/>
    <w:rsid w:val="5B323083"/>
    <w:rsid w:val="78065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2022-04-19T02:12:00Z</dcterms:created>
  <dc:creator>rsnet</dc:creator>
  <cp:lastModifiedBy>rsnet</cp:lastModifiedBy>
  <dcterms:modified xsi:type="dcterms:W3CDTF">2022-04-19T02:23:31Z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