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cs="黑体"/>
          <w:sz w:val="32"/>
          <w:szCs w:val="32"/>
          <w:highlight w:val="none"/>
        </w:rPr>
      </w:pPr>
      <w:bookmarkStart w:id="0" w:name="_GoBack"/>
      <w:bookmarkEnd w:id="0"/>
      <w:r>
        <w:rPr>
          <w:rFonts w:hint="eastAsia" w:ascii="黑体" w:hAnsi="黑体" w:eastAsia="黑体" w:cs="黑体"/>
          <w:sz w:val="32"/>
          <w:szCs w:val="32"/>
          <w:highlight w:val="none"/>
        </w:rPr>
        <w:t>附件1</w:t>
      </w:r>
    </w:p>
    <w:p>
      <w:pPr>
        <w:keepNext w:val="0"/>
        <w:keepLines w:val="0"/>
        <w:pageBreakBefore w:val="0"/>
        <w:kinsoku/>
        <w:overflowPunct/>
        <w:topLinePunct w:val="0"/>
        <w:autoSpaceDE/>
        <w:autoSpaceDN/>
        <w:bidi w:val="0"/>
        <w:adjustRightInd/>
        <w:snapToGrid/>
        <w:spacing w:line="600" w:lineRule="exact"/>
        <w:textAlignment w:val="auto"/>
        <w:rPr>
          <w:rFonts w:ascii="黑体" w:hAnsi="黑体" w:eastAsia="黑体" w:cs="黑体"/>
          <w:sz w:val="32"/>
          <w:szCs w:val="32"/>
          <w:highlight w:val="none"/>
        </w:rPr>
      </w:pP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highlight w:val="none"/>
          <w:lang w:val="en-US" w:eastAsia="zh-CN"/>
        </w:rPr>
      </w:pPr>
      <w:r>
        <w:rPr>
          <w:rFonts w:hint="eastAsia" w:ascii="方正小标宋简体" w:hAnsi="方正小标宋简体" w:eastAsia="方正小标宋简体" w:cs="方正小标宋简体"/>
          <w:sz w:val="40"/>
          <w:szCs w:val="40"/>
          <w:highlight w:val="none"/>
          <w:lang w:val="en-US" w:eastAsia="zh-CN"/>
        </w:rPr>
        <w:t>2025年省国际贸易单一窗口数据管理服务项目</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highlight w:val="none"/>
          <w:lang w:val="en-US" w:eastAsia="zh-CN"/>
        </w:rPr>
      </w:pPr>
      <w:r>
        <w:rPr>
          <w:rFonts w:hint="eastAsia" w:ascii="方正小标宋简体" w:hAnsi="方正小标宋简体" w:eastAsia="方正小标宋简体" w:cs="方正小标宋简体"/>
          <w:sz w:val="40"/>
          <w:szCs w:val="40"/>
          <w:highlight w:val="none"/>
          <w:lang w:val="en-US" w:eastAsia="zh-CN"/>
        </w:rPr>
        <w:t>服务内容及</w:t>
      </w:r>
      <w:r>
        <w:rPr>
          <w:rFonts w:hint="eastAsia" w:ascii="方正小标宋简体" w:hAnsi="方正小标宋简体" w:eastAsia="方正小标宋简体" w:cs="方正小标宋简体"/>
          <w:sz w:val="40"/>
          <w:szCs w:val="40"/>
          <w:highlight w:val="none"/>
          <w:lang w:val="en-US" w:eastAsia="zh"/>
        </w:rPr>
        <w:t>其他</w:t>
      </w:r>
      <w:r>
        <w:rPr>
          <w:rFonts w:hint="eastAsia" w:ascii="方正小标宋简体" w:hAnsi="方正小标宋简体" w:eastAsia="方正小标宋简体" w:cs="方正小标宋简体"/>
          <w:sz w:val="40"/>
          <w:szCs w:val="40"/>
          <w:highlight w:val="none"/>
          <w:lang w:val="en-US" w:eastAsia="zh-CN"/>
        </w:rPr>
        <w:t>要求</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pPr>
        <w:spacing w:line="60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一、服务内容</w:t>
      </w:r>
    </w:p>
    <w:p>
      <w:pPr>
        <w:spacing w:line="580" w:lineRule="exact"/>
        <w:ind w:firstLine="643" w:firstLineChars="200"/>
        <w:outlineLvl w:val="1"/>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一</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下发报文解析运维服务</w:t>
      </w:r>
    </w:p>
    <w:p>
      <w:pPr>
        <w:spacing w:line="580" w:lineRule="exact"/>
        <w:ind w:firstLine="640"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根据海关总署发布的相关报文格式规范性文件的变更要求，更新报文解析程序，运用特定的报文解析方法，调整解析数据表结构，根据报文封装包的消息主题分发至对应的各个业务子系统中，以供各个业务子系统对接收的报文封装包进行报文处理，实现自动化解析报文，改善当前手工解析方式。服务期内提供对下发报文解释及入库服务、通道维护服务，保障数据下发的正常运转。</w:t>
      </w:r>
    </w:p>
    <w:p>
      <w:pPr>
        <w:spacing w:line="580" w:lineRule="exact"/>
        <w:ind w:firstLine="643" w:firstLineChars="200"/>
        <w:outlineLvl w:val="1"/>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（二）数据汇聚服务</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政务数据“应汇尽汇”的要求，通过手动导入和调用接口形式，定期将省单一窗口数据资源送至省政务数据汇聚共享平台，主要涉及跨境贸易电子商务综合服务系统、进出口资信担保服务系统、国际快件申报系统、货物申报系统、舱单申报系统、运输工具申报系统、RCEP进出口企业智能服务等系统，数据汇聚需匹配省政务数据汇聚共享平台数据格式及标准做适配性改造并根据业务系统运行情况做实时调整。服务期内输出1份数据汇聚情况报告。</w:t>
      </w:r>
    </w:p>
    <w:p>
      <w:pPr>
        <w:spacing w:line="580" w:lineRule="exact"/>
        <w:ind w:firstLine="643" w:firstLineChars="200"/>
        <w:outlineLvl w:val="1"/>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（三）数据共享服务</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于应用系统业务需求，差异化地为全球溯源体系（福建）公共服务平台、RCEP进出口企业智能服务系统、省国际贸易单一窗口监控指挥中心大屏展示等系统提供数据共享服务，保障各应用系统间数据交换畅通，实现企业通关便利化、口岸管理部门共享交换服务常态化、优化提升民生服务水平。</w:t>
      </w:r>
    </w:p>
    <w:p>
      <w:pPr>
        <w:spacing w:line="580" w:lineRule="exact"/>
        <w:ind w:firstLine="643" w:firstLineChars="200"/>
        <w:outlineLvl w:val="1"/>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（四）主题库数据服务</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省单一窗口业务，从庞大的原始数据源中抽取共性的维度进行分析，形成高通用、易扩展和易使用的数据模型。根据上层应用（如报表统计、可视化展示等），通过表关联对原始数据以较小维度（如年、月）进行聚合计算，构建具有时序特征的主题库，存储在各类主题对象表和附属表中，便于应用层调取。服务期内建设RCEP、跨境电商、外贸进出口情况等主题数据库。</w:t>
      </w:r>
    </w:p>
    <w:p>
      <w:pPr>
        <w:spacing w:line="580" w:lineRule="exact"/>
        <w:ind w:firstLine="643" w:firstLineChars="200"/>
        <w:outlineLvl w:val="1"/>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（五）数据应用服务</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1.货物申报，按上旬、中旬、月度、季度、半年度、年度统计全省货物申报进出口业务量和申报金额。</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2.舱单申报，按周、月度、季度、半年度、年度统计各自申报业务量。</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3.运输工具申报，按周、月度、季度、半年度、年度统计各自申报业务量。</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4.出口信保，根据业务需求不定时提供出口信保投保相关数据，主要包含被保险人、统一社会信用代码、海关编码、投保批次等相关数据。</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跨境电商，按月度、半年度、年度、电商大促期间统计跨境电商业务数据，主要包含新增及累计注册用户数、各综试区（福州、平潭、莆田等）进出口业务量、货值、业务类型、进出口企业排名、进出口热销商品排名等。</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RCEP业务申报量，根据RCEP成员国（日本、韩国、澳大利亚、新西兰、印度尼西亚、马来西亚、菲律宾、泰国、新加坡、文莱、柬埔寨、老挝、缅甸、越南）对货物申报、跨境电商申报的进出口业务量、货值进行汇率折算，根据需求作同比对比生成月、半年和年报。</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7.石狮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FF0000"/>
          <w:sz w:val="32"/>
          <w:szCs w:val="32"/>
          <w:highlight w:val="none"/>
          <w:lang w:eastAsia="zh-CN"/>
        </w:rPr>
        <w:t>晋江</w:t>
      </w:r>
      <w:r>
        <w:rPr>
          <w:rFonts w:hint="eastAsia" w:ascii="仿宋_GB2312" w:hAnsi="仿宋_GB2312" w:eastAsia="仿宋_GB2312" w:cs="仿宋_GB2312"/>
          <w:sz w:val="32"/>
          <w:szCs w:val="32"/>
          <w:highlight w:val="none"/>
        </w:rPr>
        <w:t>市场采购，按月度、半年度、年度采集石狮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FF0000"/>
          <w:sz w:val="32"/>
          <w:szCs w:val="32"/>
          <w:highlight w:val="none"/>
          <w:lang w:eastAsia="zh-CN"/>
        </w:rPr>
        <w:t>晋江</w:t>
      </w:r>
      <w:r>
        <w:rPr>
          <w:rFonts w:hint="eastAsia" w:ascii="仿宋_GB2312" w:hAnsi="仿宋_GB2312" w:eastAsia="仿宋_GB2312" w:cs="仿宋_GB2312"/>
          <w:sz w:val="32"/>
          <w:szCs w:val="32"/>
          <w:highlight w:val="none"/>
        </w:rPr>
        <w:t>市场采购贸易相关数据，主要包含企业信息、贸易信息、收汇信息、结汇信息、免税申报信息等数据。</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8.海关贸易数据，按月度、季度、半年度、年度统计全省外贸进出口金额、出口金额、进口金额、同比变化，并能按地市钻取。</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每月输出1份统计报告，服务期内输出12份。</w:t>
      </w:r>
    </w:p>
    <w:p>
      <w:pPr>
        <w:spacing w:line="580" w:lineRule="exact"/>
        <w:ind w:firstLine="643" w:firstLineChars="200"/>
        <w:outlineLvl w:val="1"/>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（六）数据可视化展示服务</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1.跨境电商基本信息可视化展示服务，</w:t>
      </w:r>
      <w:r>
        <w:rPr>
          <w:rFonts w:hint="eastAsia" w:ascii="仿宋_GB2312" w:hAnsi="仿宋_GB2312" w:eastAsia="仿宋_GB2312" w:cs="仿宋_GB2312"/>
          <w:sz w:val="32"/>
          <w:szCs w:val="32"/>
          <w:highlight w:val="none"/>
        </w:rPr>
        <w:t>按照业务需求通过划分功能区做可视化展示，利用柱形图、折线图、曲线图等常见图形，按关区、口岸、地市展示货物报关量、海关进出口贸易额等跨境业务常见指标，支持按跨境业务类型、地区、时间等维度钻取展示。主要包含跨境电商数据展示、历年地区业务量看板、历年地区货值看板、各年地区业务量看板、各年地区货值看板、各年618大促看板、各年双11大促看板等展示模块。</w:t>
      </w:r>
    </w:p>
    <w:p>
      <w:pPr>
        <w:spacing w:line="58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2.外贸数据可视化展示服务，</w:t>
      </w:r>
      <w:r>
        <w:rPr>
          <w:rFonts w:hint="eastAsia" w:ascii="仿宋_GB2312" w:hAnsi="仿宋_GB2312" w:eastAsia="仿宋_GB2312" w:cs="仿宋_GB2312"/>
          <w:sz w:val="32"/>
          <w:szCs w:val="32"/>
          <w:highlight w:val="none"/>
        </w:rPr>
        <w:t>基于外贸进出口情况主题库数据，利用柱形图、折线图、曲线图等常见图形，按地区、时间等维度展示进出口值、进出口同比、出口值、出口值同比、进口值、进口值同比等外贸业务主要指标，支持按地区、时间等维度钻取展示。主要包含外贸进出口情况看板、外贸进出口趋势展示、外贸进出口货值看板、外贸方式情况看板、外贸企业情况看板、贸易伙伴情况看板、出口商品情况看板、进口商品情况看板等展示模块。</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lang w:eastAsia="zh"/>
        </w:rPr>
      </w:pPr>
      <w:r>
        <w:rPr>
          <w:rFonts w:hint="eastAsia" w:ascii="黑体" w:hAnsi="黑体" w:eastAsia="黑体" w:cs="黑体"/>
          <w:sz w:val="32"/>
          <w:szCs w:val="32"/>
          <w:highlight w:val="none"/>
        </w:rPr>
        <w:t>二、其他</w:t>
      </w:r>
      <w:r>
        <w:rPr>
          <w:rFonts w:hint="eastAsia" w:ascii="黑体" w:hAnsi="黑体" w:eastAsia="黑体" w:cs="黑体"/>
          <w:sz w:val="32"/>
          <w:szCs w:val="32"/>
          <w:highlight w:val="none"/>
          <w:lang w:eastAsia="zh"/>
        </w:rPr>
        <w:t>要求</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sz w:val="32"/>
          <w:szCs w:val="32"/>
          <w:highlight w:val="none"/>
        </w:rPr>
      </w:pP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服务时限：</w:t>
      </w:r>
      <w:r>
        <w:rPr>
          <w:rFonts w:hint="eastAsia" w:ascii="仿宋_GB2312" w:hAnsi="仿宋_GB2312" w:eastAsia="仿宋_GB2312" w:cs="仿宋_GB2312"/>
          <w:sz w:val="32"/>
          <w:szCs w:val="32"/>
          <w:highlight w:val="none"/>
          <w:lang w:val="en-US" w:eastAsia="zh-CN"/>
        </w:rPr>
        <w:t>1年</w:t>
      </w:r>
      <w:r>
        <w:rPr>
          <w:rFonts w:hint="eastAsia" w:ascii="仿宋_GB2312" w:hAnsi="仿宋_GB2312" w:eastAsia="仿宋_GB2312" w:cs="宋体"/>
          <w:color w:val="000000"/>
          <w:kern w:val="0"/>
          <w:sz w:val="32"/>
          <w:szCs w:val="32"/>
          <w:highlight w:val="none"/>
        </w:rPr>
        <w:t>。</w:t>
      </w:r>
    </w:p>
    <w:p>
      <w:pPr>
        <w:keepNext w:val="0"/>
        <w:keepLines w:val="0"/>
        <w:pageBreakBefore w:val="0"/>
        <w:kinsoku/>
        <w:overflowPunct/>
        <w:topLinePunct w:val="0"/>
        <w:autoSpaceDE/>
        <w:autoSpaceDN/>
        <w:bidi w:val="0"/>
        <w:adjustRightInd/>
        <w:snapToGrid/>
        <w:spacing w:line="600" w:lineRule="exact"/>
        <w:textAlignment w:val="auto"/>
        <w:rPr>
          <w:rFonts w:hint="eastAsia" w:ascii="黑体" w:hAnsi="黑体" w:eastAsia="黑体" w:cs="黑体"/>
          <w:bCs/>
          <w:sz w:val="32"/>
          <w:szCs w:val="32"/>
          <w:highlight w:val="none"/>
        </w:rPr>
      </w:pPr>
    </w:p>
    <w:p>
      <w:pPr>
        <w:keepNext w:val="0"/>
        <w:keepLines w:val="0"/>
        <w:pageBreakBefore w:val="0"/>
        <w:kinsoku/>
        <w:overflowPunct/>
        <w:topLinePunct w:val="0"/>
        <w:autoSpaceDE/>
        <w:autoSpaceDN/>
        <w:bidi w:val="0"/>
        <w:adjustRightInd/>
        <w:snapToGrid/>
        <w:spacing w:line="600" w:lineRule="exact"/>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p>
      <w:pPr>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附件2</w:t>
      </w:r>
    </w:p>
    <w:p>
      <w:pPr>
        <w:pStyle w:val="2"/>
        <w:pageBreakBefore w:val="0"/>
        <w:widowControl w:val="0"/>
        <w:numPr>
          <w:ilvl w:val="1"/>
          <w:numId w:val="0"/>
        </w:numPr>
        <w:kinsoku/>
        <w:wordWrap/>
        <w:overflowPunct/>
        <w:topLinePunct w:val="0"/>
        <w:autoSpaceDE/>
        <w:autoSpaceDN/>
        <w:bidi w:val="0"/>
        <w:adjustRightInd/>
        <w:snapToGrid/>
        <w:spacing w:before="0" w:after="0" w:line="600" w:lineRule="exact"/>
        <w:ind w:left="567" w:leftChars="0"/>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highlight w:val="none"/>
        </w:rPr>
      </w:pPr>
      <w:r>
        <w:rPr>
          <w:rFonts w:hint="eastAsia" w:ascii="方正小标宋简体" w:hAnsi="方正小标宋简体" w:eastAsia="方正小标宋简体" w:cs="方正小标宋简体"/>
          <w:sz w:val="40"/>
          <w:szCs w:val="40"/>
          <w:highlight w:val="none"/>
          <w:lang w:val="en-US" w:eastAsia="zh-CN"/>
        </w:rPr>
        <w:t>2025年</w:t>
      </w:r>
      <w:r>
        <w:rPr>
          <w:rFonts w:hint="eastAsia" w:ascii="方正小标宋简体" w:hAnsi="方正小标宋简体" w:eastAsia="方正小标宋简体" w:cs="方正小标宋简体"/>
          <w:sz w:val="40"/>
          <w:szCs w:val="40"/>
          <w:highlight w:val="none"/>
          <w:lang w:eastAsia="zh-CN"/>
        </w:rPr>
        <w:t>省</w:t>
      </w:r>
      <w:r>
        <w:rPr>
          <w:rFonts w:hint="eastAsia" w:ascii="方正小标宋简体" w:hAnsi="方正小标宋简体" w:eastAsia="方正小标宋简体" w:cs="方正小标宋简体"/>
          <w:sz w:val="40"/>
          <w:szCs w:val="40"/>
          <w:highlight w:val="none"/>
        </w:rPr>
        <w:t>国际贸易单一窗口数据管理服务项目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highlight w:val="none"/>
        </w:rPr>
      </w:pPr>
      <w:r>
        <w:rPr>
          <w:rFonts w:hint="eastAsia" w:ascii="方正小标宋简体" w:hAnsi="方正小标宋简体" w:eastAsia="方正小标宋简体" w:cs="方正小标宋简体"/>
          <w:sz w:val="40"/>
          <w:szCs w:val="40"/>
          <w:highlight w:val="none"/>
        </w:rPr>
        <w:t>市场</w:t>
      </w:r>
      <w:r>
        <w:rPr>
          <w:rFonts w:hint="eastAsia" w:ascii="方正小标宋简体" w:hAnsi="方正小标宋简体" w:eastAsia="方正小标宋简体" w:cs="方正小标宋简体"/>
          <w:sz w:val="40"/>
          <w:szCs w:val="40"/>
          <w:highlight w:val="none"/>
          <w:lang w:eastAsia="zh-CN"/>
        </w:rPr>
        <w:t>需求</w:t>
      </w:r>
      <w:r>
        <w:rPr>
          <w:rFonts w:hint="eastAsia" w:ascii="方正小标宋简体" w:hAnsi="方正小标宋简体" w:eastAsia="方正小标宋简体" w:cs="方正小标宋简体"/>
          <w:sz w:val="40"/>
          <w:szCs w:val="40"/>
          <w:highlight w:val="none"/>
        </w:rPr>
        <w:t>调查报价单</w:t>
      </w:r>
    </w:p>
    <w:p>
      <w:pPr>
        <w:pStyle w:val="2"/>
        <w:pageBreakBefore w:val="0"/>
        <w:widowControl w:val="0"/>
        <w:numPr>
          <w:ilvl w:val="1"/>
          <w:numId w:val="0"/>
        </w:numPr>
        <w:kinsoku/>
        <w:wordWrap/>
        <w:overflowPunct/>
        <w:topLinePunct w:val="0"/>
        <w:autoSpaceDE/>
        <w:autoSpaceDN/>
        <w:bidi w:val="0"/>
        <w:adjustRightInd/>
        <w:snapToGrid/>
        <w:spacing w:before="0" w:after="0" w:line="600" w:lineRule="exact"/>
        <w:ind w:left="567" w:leftChars="0"/>
        <w:textAlignment w:val="auto"/>
      </w:pP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27"/>
        <w:gridCol w:w="2855"/>
        <w:gridCol w:w="1043"/>
        <w:gridCol w:w="963"/>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0" w:type="pct"/>
            <w:shd w:val="clear" w:color="auto" w:fill="auto"/>
            <w:vAlign w:val="center"/>
          </w:tcPr>
          <w:p>
            <w:pPr>
              <w:widowControl/>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lang w:bidi="ar"/>
              </w:rPr>
              <w:t>序号</w:t>
            </w:r>
          </w:p>
        </w:tc>
        <w:tc>
          <w:tcPr>
            <w:tcW w:w="2774" w:type="pct"/>
            <w:gridSpan w:val="3"/>
            <w:shd w:val="clear" w:color="auto" w:fill="auto"/>
            <w:vAlign w:val="center"/>
          </w:tcPr>
          <w:p>
            <w:pPr>
              <w:widowControl/>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lang w:val="en-US" w:eastAsia="zh-CN" w:bidi="ar"/>
              </w:rPr>
              <w:t>项目内容</w:t>
            </w:r>
          </w:p>
        </w:tc>
        <w:tc>
          <w:tcPr>
            <w:tcW w:w="565" w:type="pct"/>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val="en-US" w:eastAsia="zh-CN" w:bidi="ar"/>
              </w:rPr>
            </w:pPr>
            <w:r>
              <w:rPr>
                <w:rFonts w:hint="eastAsia" w:ascii="仿宋_GB2312" w:hAnsi="仿宋_GB2312" w:eastAsia="仿宋_GB2312" w:cs="仿宋_GB2312"/>
                <w:b/>
                <w:bCs/>
                <w:color w:val="000000"/>
                <w:kern w:val="0"/>
                <w:sz w:val="21"/>
                <w:szCs w:val="21"/>
                <w:highlight w:val="none"/>
                <w:lang w:val="en-US" w:eastAsia="zh-CN" w:bidi="ar"/>
              </w:rPr>
              <w:t>单价</w:t>
            </w:r>
          </w:p>
          <w:p>
            <w:pPr>
              <w:widowControl/>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lang w:bidi="ar"/>
              </w:rPr>
              <w:t>（万元）</w:t>
            </w:r>
          </w:p>
        </w:tc>
        <w:tc>
          <w:tcPr>
            <w:tcW w:w="1409"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r>
              <w:rPr>
                <w:rFonts w:hint="eastAsia" w:ascii="仿宋_GB2312" w:hAnsi="仿宋_GB2312" w:eastAsia="仿宋_GB2312" w:cs="仿宋_GB2312"/>
                <w:b/>
                <w:bCs/>
                <w:color w:val="000000"/>
                <w:kern w:val="0"/>
                <w:sz w:val="21"/>
                <w:szCs w:val="21"/>
                <w:highlight w:val="none"/>
                <w:lang w:val="en-US" w:eastAsia="zh-CN" w:bidi="ar"/>
              </w:rPr>
              <w:t>计价</w:t>
            </w:r>
            <w:r>
              <w:rPr>
                <w:rFonts w:hint="eastAsia" w:ascii="仿宋_GB2312" w:hAnsi="仿宋_GB2312" w:eastAsia="仿宋_GB2312" w:cs="仿宋_GB2312"/>
                <w:b/>
                <w:bCs/>
                <w:color w:val="000000"/>
                <w:kern w:val="0"/>
                <w:sz w:val="21"/>
                <w:szCs w:val="21"/>
                <w:highlight w:val="none"/>
                <w:lang w:eastAsia="zh-CN" w:bidi="ar"/>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0"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1</w:t>
            </w:r>
          </w:p>
        </w:tc>
        <w:tc>
          <w:tcPr>
            <w:tcW w:w="2774" w:type="pct"/>
            <w:gridSpan w:val="3"/>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eastAsia="zh-CN" w:bidi="ar"/>
              </w:rPr>
            </w:pPr>
            <w:r>
              <w:rPr>
                <w:rFonts w:hint="eastAsia" w:ascii="仿宋_GB2312" w:hAnsi="仿宋_GB2312" w:eastAsia="仿宋_GB2312" w:cs="仿宋_GB2312"/>
                <w:b w:val="0"/>
                <w:bCs w:val="0"/>
                <w:color w:val="000000"/>
                <w:kern w:val="0"/>
                <w:sz w:val="21"/>
                <w:szCs w:val="21"/>
                <w:highlight w:val="none"/>
                <w:lang w:eastAsia="zh-CN" w:bidi="ar"/>
              </w:rPr>
              <w:t>下发报文解析运维服务</w:t>
            </w:r>
          </w:p>
        </w:tc>
        <w:tc>
          <w:tcPr>
            <w:tcW w:w="565"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409"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0"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2</w:t>
            </w:r>
          </w:p>
        </w:tc>
        <w:tc>
          <w:tcPr>
            <w:tcW w:w="2774" w:type="pct"/>
            <w:gridSpan w:val="3"/>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eastAsia="zh-CN" w:bidi="ar"/>
              </w:rPr>
            </w:pPr>
            <w:r>
              <w:rPr>
                <w:rFonts w:hint="eastAsia" w:ascii="仿宋_GB2312" w:hAnsi="仿宋_GB2312" w:eastAsia="仿宋_GB2312" w:cs="仿宋_GB2312"/>
                <w:b w:val="0"/>
                <w:bCs w:val="0"/>
                <w:color w:val="000000"/>
                <w:kern w:val="0"/>
                <w:sz w:val="21"/>
                <w:szCs w:val="21"/>
                <w:highlight w:val="none"/>
                <w:lang w:eastAsia="zh-CN" w:bidi="ar"/>
              </w:rPr>
              <w:t>数据汇聚服务</w:t>
            </w:r>
          </w:p>
        </w:tc>
        <w:tc>
          <w:tcPr>
            <w:tcW w:w="565"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409"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0"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3</w:t>
            </w:r>
          </w:p>
        </w:tc>
        <w:tc>
          <w:tcPr>
            <w:tcW w:w="2774" w:type="pct"/>
            <w:gridSpan w:val="3"/>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eastAsia="zh-CN" w:bidi="ar"/>
              </w:rPr>
            </w:pPr>
            <w:r>
              <w:rPr>
                <w:rFonts w:hint="eastAsia" w:ascii="仿宋_GB2312" w:hAnsi="仿宋_GB2312" w:eastAsia="仿宋_GB2312" w:cs="仿宋_GB2312"/>
                <w:b w:val="0"/>
                <w:bCs w:val="0"/>
                <w:color w:val="000000"/>
                <w:kern w:val="0"/>
                <w:sz w:val="21"/>
                <w:szCs w:val="21"/>
                <w:highlight w:val="none"/>
                <w:lang w:eastAsia="zh-CN" w:bidi="ar"/>
              </w:rPr>
              <w:t>数据共享服务</w:t>
            </w:r>
          </w:p>
        </w:tc>
        <w:tc>
          <w:tcPr>
            <w:tcW w:w="565"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409"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0"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4</w:t>
            </w:r>
          </w:p>
        </w:tc>
        <w:tc>
          <w:tcPr>
            <w:tcW w:w="2774" w:type="pct"/>
            <w:gridSpan w:val="3"/>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eastAsia="zh-CN" w:bidi="ar"/>
              </w:rPr>
            </w:pPr>
            <w:r>
              <w:rPr>
                <w:rFonts w:hint="eastAsia" w:ascii="仿宋_GB2312" w:hAnsi="仿宋_GB2312" w:eastAsia="仿宋_GB2312" w:cs="仿宋_GB2312"/>
                <w:b w:val="0"/>
                <w:bCs w:val="0"/>
                <w:color w:val="000000"/>
                <w:kern w:val="0"/>
                <w:sz w:val="21"/>
                <w:szCs w:val="21"/>
                <w:highlight w:val="none"/>
                <w:lang w:eastAsia="zh-CN" w:bidi="ar"/>
              </w:rPr>
              <w:t>主题库数据服务</w:t>
            </w:r>
          </w:p>
        </w:tc>
        <w:tc>
          <w:tcPr>
            <w:tcW w:w="565"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409"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0"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5</w:t>
            </w:r>
          </w:p>
        </w:tc>
        <w:tc>
          <w:tcPr>
            <w:tcW w:w="2774" w:type="pct"/>
            <w:gridSpan w:val="3"/>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eastAsia="zh-CN" w:bidi="ar"/>
              </w:rPr>
            </w:pPr>
            <w:r>
              <w:rPr>
                <w:rFonts w:hint="eastAsia" w:ascii="仿宋_GB2312" w:hAnsi="仿宋_GB2312" w:eastAsia="仿宋_GB2312" w:cs="仿宋_GB2312"/>
                <w:b w:val="0"/>
                <w:bCs w:val="0"/>
                <w:color w:val="000000"/>
                <w:kern w:val="0"/>
                <w:sz w:val="21"/>
                <w:szCs w:val="21"/>
                <w:highlight w:val="none"/>
                <w:lang w:eastAsia="zh-CN" w:bidi="ar"/>
              </w:rPr>
              <w:t>数据应用服务</w:t>
            </w:r>
          </w:p>
        </w:tc>
        <w:tc>
          <w:tcPr>
            <w:tcW w:w="565"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409"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0"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6</w:t>
            </w:r>
          </w:p>
        </w:tc>
        <w:tc>
          <w:tcPr>
            <w:tcW w:w="2774" w:type="pct"/>
            <w:gridSpan w:val="3"/>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eastAsia="zh-CN" w:bidi="ar"/>
              </w:rPr>
            </w:pPr>
            <w:r>
              <w:rPr>
                <w:rFonts w:hint="eastAsia" w:ascii="仿宋_GB2312" w:hAnsi="仿宋_GB2312" w:eastAsia="仿宋_GB2312" w:cs="仿宋_GB2312"/>
                <w:b w:val="0"/>
                <w:bCs w:val="0"/>
                <w:color w:val="000000"/>
                <w:kern w:val="0"/>
                <w:sz w:val="21"/>
                <w:szCs w:val="21"/>
                <w:highlight w:val="none"/>
                <w:lang w:eastAsia="zh-CN" w:bidi="ar"/>
              </w:rPr>
              <w:t>数据可视化展示服务</w:t>
            </w:r>
          </w:p>
        </w:tc>
        <w:tc>
          <w:tcPr>
            <w:tcW w:w="565"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c>
          <w:tcPr>
            <w:tcW w:w="1409" w:type="pct"/>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2" w:hRule="atLeast"/>
          <w:jc w:val="center"/>
        </w:trPr>
        <w:tc>
          <w:tcPr>
            <w:tcW w:w="736" w:type="pct"/>
            <w:gridSpan w:val="2"/>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40" w:lineRule="atLeast"/>
              <w:ind w:left="0" w:right="0" w:firstLine="0"/>
              <w:jc w:val="both"/>
              <w:rPr>
                <w:rFonts w:hint="eastAsia" w:ascii="仿宋_GB2312" w:hAnsi="仿宋_GB2312" w:eastAsia="仿宋_GB2312" w:cs="仿宋_GB2312"/>
                <w:sz w:val="21"/>
                <w:szCs w:val="21"/>
              </w:rPr>
            </w:pPr>
            <w:r>
              <w:rPr>
                <w:rFonts w:hint="eastAsia" w:ascii="仿宋_GB2312" w:hAnsi="仿宋_GB2312" w:eastAsia="仿宋_GB2312" w:cs="仿宋_GB2312"/>
                <w:b w:val="0"/>
                <w:color w:val="333333"/>
                <w:kern w:val="0"/>
                <w:sz w:val="21"/>
                <w:szCs w:val="21"/>
                <w:shd w:val="clear" w:fill="FFFFFF"/>
                <w:lang w:val="en-US" w:eastAsia="zh-CN" w:bidi="ar"/>
              </w:rPr>
              <w:t>报价总额</w:t>
            </w:r>
          </w:p>
        </w:tc>
        <w:tc>
          <w:tcPr>
            <w:tcW w:w="4263" w:type="pct"/>
            <w:gridSpan w:val="4"/>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40" w:lineRule="atLeast"/>
              <w:ind w:left="0" w:right="0" w:firstLine="560"/>
              <w:jc w:val="both"/>
              <w:rPr>
                <w:rFonts w:hint="eastAsia" w:ascii="仿宋_GB2312" w:hAnsi="仿宋_GB2312" w:eastAsia="仿宋_GB2312" w:cs="仿宋_GB2312"/>
                <w:i w:val="0"/>
                <w:caps w:val="0"/>
                <w:color w:val="333333"/>
                <w:spacing w:val="0"/>
                <w:kern w:val="0"/>
                <w:sz w:val="21"/>
                <w:szCs w:val="21"/>
                <w:shd w:val="clear" w:fill="FFFFFF"/>
                <w:lang w:val="en-US" w:eastAsia="zh-CN" w:bidi="ar"/>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 xml:space="preserve">¥ </w:t>
            </w:r>
            <w:r>
              <w:rPr>
                <w:rFonts w:hint="eastAsia" w:ascii="仿宋_GB2312" w:hAnsi="仿宋_GB2312" w:eastAsia="仿宋_GB2312" w:cs="仿宋_GB2312"/>
                <w:i w:val="0"/>
                <w:caps w:val="0"/>
                <w:color w:val="333333"/>
                <w:spacing w:val="0"/>
                <w:kern w:val="0"/>
                <w:sz w:val="21"/>
                <w:szCs w:val="21"/>
                <w:u w:val="single"/>
                <w:shd w:val="clear" w:fill="FFFFFF"/>
                <w:lang w:val="en-US" w:eastAsia="zh-CN" w:bidi="ar"/>
              </w:rPr>
              <w:t xml:space="preserve"> </w:t>
            </w:r>
            <w:r>
              <w:rPr>
                <w:rFonts w:hint="eastAsia" w:ascii="仿宋_GB2312" w:hAnsi="仿宋_GB2312" w:eastAsia="仿宋_GB2312" w:cs="仿宋_GB2312"/>
                <w:i w:val="0"/>
                <w:caps w:val="0"/>
                <w:color w:val="333333"/>
                <w:spacing w:val="0"/>
                <w:kern w:val="0"/>
                <w:sz w:val="21"/>
                <w:szCs w:val="21"/>
                <w:shd w:val="clear" w:fill="FFFFFF"/>
                <w:lang w:val="en-US" w:eastAsia="zh-CN" w:bidi="ar"/>
              </w:rPr>
              <w:t>（大写：</w:t>
            </w:r>
            <w:r>
              <w:rPr>
                <w:rFonts w:hint="eastAsia" w:ascii="仿宋_GB2312" w:hAnsi="仿宋_GB2312" w:eastAsia="仿宋_GB2312" w:cs="仿宋_GB2312"/>
                <w:i w:val="0"/>
                <w:caps w:val="0"/>
                <w:color w:val="333333"/>
                <w:spacing w:val="0"/>
                <w:kern w:val="0"/>
                <w:sz w:val="21"/>
                <w:szCs w:val="21"/>
                <w:u w:val="single"/>
                <w:shd w:val="clear" w:fill="FFFFFF"/>
                <w:lang w:val="en-US" w:eastAsia="zh-CN" w:bidi="ar"/>
              </w:rPr>
              <w:t xml:space="preserve"> </w:t>
            </w:r>
            <w:r>
              <w:rPr>
                <w:rFonts w:hint="eastAsia" w:ascii="仿宋_GB2312" w:hAnsi="仿宋_GB2312" w:eastAsia="仿宋_GB2312" w:cs="仿宋_GB2312"/>
                <w:i w:val="0"/>
                <w:caps w:val="0"/>
                <w:color w:val="333333"/>
                <w:spacing w:val="0"/>
                <w:kern w:val="0"/>
                <w:sz w:val="21"/>
                <w:szCs w:val="21"/>
                <w:shd w:val="clear" w:fill="FFFFFF"/>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90" w:hRule="atLeast"/>
          <w:jc w:val="center"/>
        </w:trPr>
        <w:tc>
          <w:tcPr>
            <w:tcW w:w="5000" w:type="pct"/>
            <w:gridSpan w:val="6"/>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caps w:val="0"/>
                <w:color w:val="333333"/>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caps w:val="0"/>
                <w:color w:val="333333"/>
                <w:spacing w:val="0"/>
                <w:kern w:val="0"/>
                <w:sz w:val="21"/>
                <w:szCs w:val="21"/>
                <w:shd w:val="clear" w:fill="FFFFFF"/>
                <w:lang w:val="en-US" w:eastAsia="zh-CN" w:bidi="ar"/>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我方已知悉贵单位要求的所有服务内容。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caps w:val="0"/>
                <w:color w:val="333333"/>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caps w:val="0"/>
                <w:color w:val="333333"/>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3920"/>
              <w:jc w:val="both"/>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报价单位名称（盖章）：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3920"/>
              <w:jc w:val="both"/>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法人或授权代表签字：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3920"/>
              <w:jc w:val="both"/>
              <w:rPr>
                <w:rFonts w:hint="eastAsia" w:ascii="仿宋_GB2312" w:hAnsi="仿宋_GB2312" w:eastAsia="仿宋_GB2312" w:cs="仿宋_GB2312"/>
                <w:i w:val="0"/>
                <w:caps w:val="0"/>
                <w:color w:val="333333"/>
                <w:spacing w:val="0"/>
                <w:kern w:val="0"/>
                <w:sz w:val="21"/>
                <w:szCs w:val="21"/>
                <w:shd w:val="clear" w:fill="FFFFFF"/>
                <w:lang w:val="en-US" w:eastAsia="zh-CN" w:bidi="ar"/>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报价时间：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87" w:hRule="atLeast"/>
          <w:jc w:val="center"/>
        </w:trPr>
        <w:tc>
          <w:tcPr>
            <w:tcW w:w="2412" w:type="pct"/>
            <w:gridSpan w:val="3"/>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40" w:lineRule="atLeast"/>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联系人及联系电话</w:t>
            </w:r>
          </w:p>
        </w:tc>
        <w:tc>
          <w:tcPr>
            <w:tcW w:w="2587" w:type="pct"/>
            <w:gridSpan w:val="3"/>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40" w:lineRule="atLeast"/>
              <w:ind w:left="0" w:leftChars="0" w:right="0" w:rightChars="0"/>
              <w:jc w:val="center"/>
              <w:rPr>
                <w:rFonts w:hint="eastAsia" w:ascii="仿宋_GB2312" w:hAnsi="仿宋_GB2312" w:eastAsia="仿宋_GB2312" w:cs="仿宋_GB2312"/>
                <w:color w:val="333333"/>
                <w:sz w:val="21"/>
                <w:szCs w:val="21"/>
              </w:rPr>
            </w:pPr>
          </w:p>
        </w:tc>
      </w:tr>
    </w:tbl>
    <w:p>
      <w:pPr>
        <w:keepNext w:val="0"/>
        <w:keepLines w:val="0"/>
        <w:pageBreakBefore w:val="0"/>
        <w:widowControl/>
        <w:kinsoku/>
        <w:wordWrap/>
        <w:overflowPunct/>
        <w:topLinePunct w:val="0"/>
        <w:autoSpaceDE/>
        <w:autoSpaceDN/>
        <w:bidi w:val="0"/>
        <w:adjustRightInd/>
        <w:snapToGrid/>
        <w:spacing w:line="400" w:lineRule="exact"/>
        <w:textAlignment w:val="auto"/>
        <w:rPr>
          <w:highlight w:val="none"/>
        </w:rPr>
      </w:pPr>
      <w:r>
        <w:rPr>
          <w:rFonts w:hint="eastAsia" w:ascii="仿宋_GB2312" w:hAnsi="仿宋_GB2312" w:eastAsia="仿宋_GB2312" w:cs="仿宋_GB2312"/>
          <w:b w:val="0"/>
          <w:bCs w:val="0"/>
          <w:kern w:val="0"/>
          <w:sz w:val="32"/>
          <w:szCs w:val="32"/>
          <w:shd w:val="clear" w:fill="FFFFFF"/>
          <w:lang w:val="en-US" w:eastAsia="zh-CN" w:bidi="ar"/>
        </w:rPr>
        <w:t>备注：请按要求完整填报报价单信息，注明企业（单位）全称，由法人或授权人签字并加盖公章，否则视为无效。</w:t>
      </w:r>
    </w:p>
    <w:sectPr>
      <w:pgSz w:w="11906" w:h="16838"/>
      <w:pgMar w:top="1134" w:right="1800" w:bottom="850" w:left="1800"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65AE0D"/>
    <w:multiLevelType w:val="multilevel"/>
    <w:tmpl w:val="FC65AE0D"/>
    <w:lvl w:ilvl="0" w:tentative="0">
      <w:start w:val="1"/>
      <w:numFmt w:val="decimal"/>
      <w:lvlText w:val="%1."/>
      <w:lvlJc w:val="left"/>
      <w:pPr>
        <w:ind w:left="425" w:hanging="425"/>
      </w:pPr>
      <w:rPr>
        <w:rFonts w:hint="default" w:ascii="黑体" w:hAnsi="黑体" w:eastAsia="黑体" w:cs="宋体"/>
      </w:rPr>
    </w:lvl>
    <w:lvl w:ilvl="1" w:tentative="0">
      <w:start w:val="1"/>
      <w:numFmt w:val="decimal"/>
      <w:lvlRestart w:val="0"/>
      <w:pStyle w:val="2"/>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eastAsia" w:ascii="仿宋_GB2312" w:hAnsi="宋体" w:eastAsia="仿宋_GB2312"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mODVlNzg2Yzg1OTZkNGU5NDA4Y2FlZjU5MTFiZGIifQ=="/>
  </w:docVars>
  <w:rsids>
    <w:rsidRoot w:val="2E774D7E"/>
    <w:rsid w:val="001D64AF"/>
    <w:rsid w:val="0023335D"/>
    <w:rsid w:val="0027125B"/>
    <w:rsid w:val="00283407"/>
    <w:rsid w:val="0038754B"/>
    <w:rsid w:val="003B39E4"/>
    <w:rsid w:val="00470865"/>
    <w:rsid w:val="005A7F5F"/>
    <w:rsid w:val="006A61E3"/>
    <w:rsid w:val="006C6632"/>
    <w:rsid w:val="006E1A2E"/>
    <w:rsid w:val="00742161"/>
    <w:rsid w:val="00887F1E"/>
    <w:rsid w:val="009F5DE8"/>
    <w:rsid w:val="009F7B5B"/>
    <w:rsid w:val="00B4795C"/>
    <w:rsid w:val="00BA7225"/>
    <w:rsid w:val="00C07E91"/>
    <w:rsid w:val="00C71447"/>
    <w:rsid w:val="00C8031F"/>
    <w:rsid w:val="00DA5E27"/>
    <w:rsid w:val="00F778AA"/>
    <w:rsid w:val="00FD22CD"/>
    <w:rsid w:val="02ED7A62"/>
    <w:rsid w:val="033C0EB3"/>
    <w:rsid w:val="04D16EC2"/>
    <w:rsid w:val="05467D5B"/>
    <w:rsid w:val="062E3B58"/>
    <w:rsid w:val="07684911"/>
    <w:rsid w:val="07D442F0"/>
    <w:rsid w:val="097E2C08"/>
    <w:rsid w:val="09AC7A08"/>
    <w:rsid w:val="0AF17ECF"/>
    <w:rsid w:val="0BBA6DAD"/>
    <w:rsid w:val="0BBE35C7"/>
    <w:rsid w:val="0BEE2134"/>
    <w:rsid w:val="0CEA6A12"/>
    <w:rsid w:val="0CFA1B57"/>
    <w:rsid w:val="0DE85960"/>
    <w:rsid w:val="0E2C41C4"/>
    <w:rsid w:val="0F4D3C7F"/>
    <w:rsid w:val="0F707EAE"/>
    <w:rsid w:val="0F9B75C7"/>
    <w:rsid w:val="0FB92A32"/>
    <w:rsid w:val="12230648"/>
    <w:rsid w:val="12C0114D"/>
    <w:rsid w:val="13392CAD"/>
    <w:rsid w:val="153179E3"/>
    <w:rsid w:val="156754A6"/>
    <w:rsid w:val="16627E1F"/>
    <w:rsid w:val="175B784E"/>
    <w:rsid w:val="18341DDD"/>
    <w:rsid w:val="19526B34"/>
    <w:rsid w:val="19BB4AC7"/>
    <w:rsid w:val="1BD13FC7"/>
    <w:rsid w:val="1BF3363D"/>
    <w:rsid w:val="1E153111"/>
    <w:rsid w:val="1FAE1421"/>
    <w:rsid w:val="21F877D3"/>
    <w:rsid w:val="223F767A"/>
    <w:rsid w:val="23DD2C75"/>
    <w:rsid w:val="23FE6F2B"/>
    <w:rsid w:val="24E74766"/>
    <w:rsid w:val="25243D68"/>
    <w:rsid w:val="26853DF2"/>
    <w:rsid w:val="269404CF"/>
    <w:rsid w:val="269C3827"/>
    <w:rsid w:val="27BC7973"/>
    <w:rsid w:val="27DB169A"/>
    <w:rsid w:val="280A39DB"/>
    <w:rsid w:val="28321957"/>
    <w:rsid w:val="28553C8E"/>
    <w:rsid w:val="299D4B2A"/>
    <w:rsid w:val="29C77B34"/>
    <w:rsid w:val="2A612DBE"/>
    <w:rsid w:val="2B1A4D1A"/>
    <w:rsid w:val="2C0A7D0A"/>
    <w:rsid w:val="2C3914CD"/>
    <w:rsid w:val="2C55065C"/>
    <w:rsid w:val="2C5B2989"/>
    <w:rsid w:val="2C7B7C5F"/>
    <w:rsid w:val="2CDF621C"/>
    <w:rsid w:val="2D984CCD"/>
    <w:rsid w:val="2DC002DD"/>
    <w:rsid w:val="2E4046B4"/>
    <w:rsid w:val="2E5048B1"/>
    <w:rsid w:val="2E774D7E"/>
    <w:rsid w:val="2EDC0C65"/>
    <w:rsid w:val="2F0E4C7B"/>
    <w:rsid w:val="2F491227"/>
    <w:rsid w:val="2F9E416C"/>
    <w:rsid w:val="2FE813FF"/>
    <w:rsid w:val="30790319"/>
    <w:rsid w:val="30A13BD7"/>
    <w:rsid w:val="30DE4845"/>
    <w:rsid w:val="31126FE4"/>
    <w:rsid w:val="31D61E41"/>
    <w:rsid w:val="32EF3ED8"/>
    <w:rsid w:val="33A042BD"/>
    <w:rsid w:val="33A258DA"/>
    <w:rsid w:val="34BE3DF6"/>
    <w:rsid w:val="357A2C41"/>
    <w:rsid w:val="36715A7B"/>
    <w:rsid w:val="36976FF2"/>
    <w:rsid w:val="36D47D93"/>
    <w:rsid w:val="36DB2584"/>
    <w:rsid w:val="377F6B2A"/>
    <w:rsid w:val="39094D4C"/>
    <w:rsid w:val="3A582540"/>
    <w:rsid w:val="3C83005A"/>
    <w:rsid w:val="3CB45907"/>
    <w:rsid w:val="3CED514B"/>
    <w:rsid w:val="3F8C2362"/>
    <w:rsid w:val="435B61A4"/>
    <w:rsid w:val="43CD6726"/>
    <w:rsid w:val="44C631ED"/>
    <w:rsid w:val="45373393"/>
    <w:rsid w:val="474A246F"/>
    <w:rsid w:val="4792346C"/>
    <w:rsid w:val="493A2A7F"/>
    <w:rsid w:val="493C69BC"/>
    <w:rsid w:val="4A2C56F5"/>
    <w:rsid w:val="4A5021C4"/>
    <w:rsid w:val="4A7E45EE"/>
    <w:rsid w:val="4AE91A6E"/>
    <w:rsid w:val="4B0E7FA0"/>
    <w:rsid w:val="4C1311AD"/>
    <w:rsid w:val="4CC25AA5"/>
    <w:rsid w:val="4F292049"/>
    <w:rsid w:val="4F96695E"/>
    <w:rsid w:val="51426BF5"/>
    <w:rsid w:val="537B63EF"/>
    <w:rsid w:val="53C8522C"/>
    <w:rsid w:val="54B206F8"/>
    <w:rsid w:val="54F853F6"/>
    <w:rsid w:val="55C30659"/>
    <w:rsid w:val="5677653D"/>
    <w:rsid w:val="56D904AE"/>
    <w:rsid w:val="578339EB"/>
    <w:rsid w:val="57923690"/>
    <w:rsid w:val="57AC7F94"/>
    <w:rsid w:val="59032EE8"/>
    <w:rsid w:val="598D656A"/>
    <w:rsid w:val="5B5E7CFD"/>
    <w:rsid w:val="5BC76DBF"/>
    <w:rsid w:val="5C290918"/>
    <w:rsid w:val="5E7F117E"/>
    <w:rsid w:val="5EF90C3C"/>
    <w:rsid w:val="5EFE7CA3"/>
    <w:rsid w:val="5F3376FB"/>
    <w:rsid w:val="615728C1"/>
    <w:rsid w:val="61856F4B"/>
    <w:rsid w:val="61D66F19"/>
    <w:rsid w:val="623866DF"/>
    <w:rsid w:val="629C5B27"/>
    <w:rsid w:val="62D774F4"/>
    <w:rsid w:val="62F53A2B"/>
    <w:rsid w:val="62F57CBE"/>
    <w:rsid w:val="636C1EB4"/>
    <w:rsid w:val="637908B7"/>
    <w:rsid w:val="63826E60"/>
    <w:rsid w:val="64082F18"/>
    <w:rsid w:val="647735D6"/>
    <w:rsid w:val="66445773"/>
    <w:rsid w:val="669B2670"/>
    <w:rsid w:val="66C756DB"/>
    <w:rsid w:val="66DF2F5B"/>
    <w:rsid w:val="67924868"/>
    <w:rsid w:val="67980EC5"/>
    <w:rsid w:val="67B30393"/>
    <w:rsid w:val="68BA4A4A"/>
    <w:rsid w:val="6957415C"/>
    <w:rsid w:val="6A2E16B9"/>
    <w:rsid w:val="6A810BC5"/>
    <w:rsid w:val="6B047505"/>
    <w:rsid w:val="6B894F68"/>
    <w:rsid w:val="6C3C3B39"/>
    <w:rsid w:val="6C950AE3"/>
    <w:rsid w:val="6E176800"/>
    <w:rsid w:val="6E290AC9"/>
    <w:rsid w:val="6EAF1886"/>
    <w:rsid w:val="6F1C42DC"/>
    <w:rsid w:val="6FAD5006"/>
    <w:rsid w:val="6FBE68CB"/>
    <w:rsid w:val="70281B61"/>
    <w:rsid w:val="71941D45"/>
    <w:rsid w:val="725612B3"/>
    <w:rsid w:val="72F91802"/>
    <w:rsid w:val="72FC7376"/>
    <w:rsid w:val="73097DC6"/>
    <w:rsid w:val="734F1C41"/>
    <w:rsid w:val="75754A52"/>
    <w:rsid w:val="78422526"/>
    <w:rsid w:val="799D05BD"/>
    <w:rsid w:val="7C4B4301"/>
    <w:rsid w:val="7DDDF965"/>
    <w:rsid w:val="7FCF3DBA"/>
    <w:rsid w:val="CD6FFD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qFormat/>
    <w:uiPriority w:val="0"/>
    <w:pPr>
      <w:keepNext/>
      <w:keepLines/>
      <w:numPr>
        <w:ilvl w:val="1"/>
        <w:numId w:val="1"/>
      </w:numPr>
      <w:tabs>
        <w:tab w:val="left" w:pos="840"/>
      </w:tabs>
      <w:spacing w:before="180" w:after="180" w:line="413" w:lineRule="auto"/>
      <w:ind w:firstLine="0"/>
      <w:outlineLvl w:val="1"/>
    </w:pPr>
    <w:rPr>
      <w:rFonts w:ascii="Arial" w:hAnsi="Arial" w:eastAsia="楷体"/>
      <w:b/>
      <w:sz w:val="30"/>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qFormat/>
    <w:uiPriority w:val="0"/>
    <w:pPr>
      <w:jc w:val="left"/>
    </w:p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0">
    <w:name w:val="annotation subject"/>
    <w:basedOn w:val="5"/>
    <w:next w:val="5"/>
    <w:link w:val="20"/>
    <w:qFormat/>
    <w:uiPriority w:val="0"/>
    <w:rPr>
      <w:b/>
      <w:bCs/>
    </w:r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paragraph" w:customStyle="1" w:styleId="15">
    <w:name w:val="列表段落1"/>
    <w:basedOn w:val="1"/>
    <w:qFormat/>
    <w:uiPriority w:val="34"/>
    <w:pPr>
      <w:ind w:firstLine="420" w:firstLineChars="200"/>
    </w:pPr>
  </w:style>
  <w:style w:type="character" w:customStyle="1" w:styleId="16">
    <w:name w:val="font21"/>
    <w:basedOn w:val="12"/>
    <w:qFormat/>
    <w:uiPriority w:val="0"/>
    <w:rPr>
      <w:rFonts w:hint="eastAsia" w:ascii="黑体" w:hAnsi="宋体" w:eastAsia="黑体" w:cs="黑体"/>
      <w:color w:val="000000"/>
      <w:sz w:val="21"/>
      <w:szCs w:val="21"/>
      <w:u w:val="none"/>
    </w:rPr>
  </w:style>
  <w:style w:type="character" w:customStyle="1" w:styleId="17">
    <w:name w:val="页眉 字符"/>
    <w:basedOn w:val="12"/>
    <w:link w:val="7"/>
    <w:qFormat/>
    <w:uiPriority w:val="0"/>
    <w:rPr>
      <w:rFonts w:asciiTheme="minorHAnsi" w:hAnsiTheme="minorHAnsi" w:eastAsiaTheme="minorEastAsia" w:cstheme="minorBidi"/>
      <w:kern w:val="2"/>
      <w:sz w:val="18"/>
      <w:szCs w:val="18"/>
    </w:rPr>
  </w:style>
  <w:style w:type="character" w:customStyle="1" w:styleId="18">
    <w:name w:val="页脚 字符"/>
    <w:basedOn w:val="12"/>
    <w:link w:val="6"/>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5"/>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10"/>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2542</Words>
  <Characters>2601</Characters>
  <Lines>23</Lines>
  <Paragraphs>6</Paragraphs>
  <TotalTime>2</TotalTime>
  <ScaleCrop>false</ScaleCrop>
  <LinksUpToDate>false</LinksUpToDate>
  <CharactersWithSpaces>2639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2022-04-28T19:11:00Z</dcterms:created>
  <dc:creator>Administrator</dc:creator>
  <cp:lastModifiedBy>Administrator</cp:lastModifiedBy>
  <cp:lastPrinted>2022-04-29T00:39:00Z</cp:lastPrinted>
  <dcterms:modified xsi:type="dcterms:W3CDTF">2025-09-25T02:59:33Z</dcterms:modified>
  <dc:title>项目预算询价函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D101306C8ED22FC27228C2688BDC4C30_43</vt:lpwstr>
  </property>
  <property fmtid="{D5CDD505-2E9C-101B-9397-08002B2CF9AE}" pid="4" name="KSOTemplateDocerSaveRecord">
    <vt:lpwstr>eyJoZGlkIjoiZDhhZTQ1MTI2OGYyNDIwMzI3ZWNlZWMxMWE2MTM0MWYiLCJ1c2VySWQiOiIzMzY0MDg3MzYifQ==</vt:lpwstr>
  </property>
</Properties>
</file>