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pPr>
      <w:bookmarkStart w:id="0" w:name="_GoBack"/>
      <w:bookmarkEnd w:id="0"/>
      <w:r>
        <w:rPr>
          <w:rFonts w:hint="eastAsia" w:ascii="黑体" w:hAnsi="黑体" w:eastAsia="黑体" w:cs="黑体"/>
          <w:bCs/>
          <w:sz w:val="32"/>
          <w:szCs w:val="32"/>
          <w:highlight w:val="none"/>
        </w:rPr>
        <w:t>附件</w:t>
      </w:r>
      <w:r>
        <w:rPr>
          <w:rFonts w:hint="eastAsia" w:ascii="黑体" w:hAnsi="黑体" w:eastAsia="黑体" w:cs="黑体"/>
          <w:bCs/>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省国际贸易单一窗口</w:t>
      </w: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系统安全测评服务项目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val="en-US" w:eastAsia="zh-CN"/>
          <w14:textFill>
            <w14:solidFill>
              <w14:schemeClr w14:val="tx1"/>
            </w14:solidFill>
          </w14:textFill>
        </w:rPr>
        <w:t>服务内容及要求</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outlineLvl w:val="2"/>
        <w:rPr>
          <w:rFonts w:hint="eastAsia" w:ascii="仿宋_GB2312" w:hAnsi="仿宋_GB2312" w:eastAsia="仿宋_GB2312" w:cs="仿宋_GB2312"/>
          <w:b w:val="0"/>
          <w:bCs w:val="0"/>
          <w:sz w:val="32"/>
          <w:szCs w:val="32"/>
          <w:lang w:eastAsia="zh-CN"/>
        </w:rPr>
      </w:pPr>
    </w:p>
    <w:p>
      <w:pPr>
        <w:spacing w:line="560" w:lineRule="exact"/>
        <w:ind w:firstLine="640" w:firstLineChars="200"/>
        <w:outlineLvl w:val="2"/>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一、服务内容</w:t>
      </w:r>
    </w:p>
    <w:p>
      <w:pPr>
        <w:spacing w:line="56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1.等保资产分析服务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等级保护范围内的资产组成，派遣专业工程师到现场整理各个系统的网络结构拓扑以及相关联的资产，编制信息系统资产清单及资产报告；对服务范围内信息系统开展安全物理环境、安全通信网络、安全区域边界、安全计算环境、安全管理中心以及安全管理制度进行调研和梳理，编制信息系统详细描述文档。</w:t>
      </w:r>
    </w:p>
    <w:p>
      <w:pPr>
        <w:spacing w:line="56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2.等保风险分析服务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等级保护基本要求，开展安全物理环境、安全通信网络、安全区域边界、安全计算环境、安全管理中心以及安全管理的现状分析，通过安全访谈、脆弱性评估、登录检查、日志分析以及渗透测试等技术手段对现有的安全资产进行全方位的风险评估，结合信息资产属性、威胁、脆弱性等基本要素，分析信息系统安全风险评估分析，编制风险分析报告。</w:t>
      </w:r>
    </w:p>
    <w:p>
      <w:pPr>
        <w:spacing w:line="56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3.等保差距评估服务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在安全评估和信息系统定级的基础上，根据《GB/T 22239-2019 信息安全技术 网络安全等级保护基本要求》将定级信息系统等级保护的各项基本要求与信息安全现状进行比较分析，从管理和技术两个层面找出存在的问题并进行差距分析。</w:t>
      </w:r>
    </w:p>
    <w:p>
      <w:pPr>
        <w:spacing w:line="56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4.等保整改建设服务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相应等级要求对当前实际情况的差距分析结果对应策略设计整改加固措施，包含安全物理环境、安全通信网络、安全区域边界、安全计算环境、安全管理中心以及管理要求内容，针对不符合项以及行业特性要求进行个性化的整改方案设计，包含岗位职责梳理、技术策略实施、风险评估、管理体系建设、安全产品集成、组织方案评审、提供安全产品等方面，设计信息安全等级保护建设详细方案，协助建设单位完成建设整改工作。</w:t>
      </w:r>
    </w:p>
    <w:p>
      <w:pPr>
        <w:spacing w:line="56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5.等保安全加固服务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等级保护基本要求以及风险和差距分析结果，对服务范围内信息系统的关键资产编制安全加固实施方案。派遣专业工程师到现场根据安全加固实施方案实施边界防护安全策略优化辅导、服务器病毒检查与清理，提供主机安全加固建议、数据库安全加固建议以及应用安全加固建议。在安全加固实施前，应提交安全加固风险分析及风险规避说明书；安全加固实施后，应提交防火墙策略文件及配置清单、服务器安全加固建议报告、设备加固建议报告等文档。</w:t>
      </w:r>
    </w:p>
    <w:p>
      <w:pPr>
        <w:spacing w:line="56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6.等保制度建设服务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协助客户对安全管理制度建设，主要包括但不限于信息安全工作职责，信息安全监督、检查机制；辅助用户编写方针、制度、各类记录表格模板在内的三层结构的安全管理制度，达到等级保护测评要求。</w:t>
      </w:r>
    </w:p>
    <w:p>
      <w:pPr>
        <w:spacing w:line="56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.安全策略复查服务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派遣专业工程师到现场针对加固前后的系统脆弱性进行复查，复查手段包括但不限于协议分析、漏洞扫描、漏洞验证以及配置核查等方法。复查结束后，形成加固前后对比复查报告。</w:t>
      </w:r>
    </w:p>
    <w:p>
      <w:pPr>
        <w:spacing w:line="56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t>.等保定级咨询服务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用户信息系统自行定级的基础上，参照国家和地方对等级保护定级的有关要求，对信息系统开展摸底调查工作，掌握信息系统的基本情况，了解信息系统（包括信息网络）的业务类型、应用或服务范围、用户数量、系统结构、部署方式、安全策略、内控制度等信息，协助用户单位完成撰写信息系统定级报告，明确信息系统的边界和安全保护等级，并组织专家评审。</w:t>
      </w:r>
    </w:p>
    <w:p>
      <w:pPr>
        <w:spacing w:line="56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9.等保备案辅助服务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根据《信息安全等级保护管理办法》和《GB/T 22239-2019 信息安全技术 网络安全等级保护基本要求》，信息系统运营使用单位或主管部门需到当地公安机关备案，提供备案咨询服务，协助用户单位填写准备材料，协助用户单位填写《信息系统安全等级保护备案表》等准备材料，直到完成备案工作。</w:t>
      </w:r>
    </w:p>
    <w:p>
      <w:pPr>
        <w:spacing w:line="56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10.等保测评辅助服务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在测评阶段协助用户准备测评材料，指导用户单位配合测评中心开展等级测评工作，组织测评整改，并保障顺利通过等保测评获得测评报告。</w:t>
      </w:r>
    </w:p>
    <w:p>
      <w:pPr>
        <w:spacing w:line="56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11.监督检查辅助服务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根据用户单位需要，配合完成自查工作，协助运营、使用单位接受检查和进行整改。</w:t>
      </w:r>
    </w:p>
    <w:p>
      <w:pPr>
        <w:spacing w:line="560" w:lineRule="exact"/>
        <w:ind w:firstLine="643" w:firstLineChars="200"/>
        <w:outlineLvl w:val="2"/>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12.等保测评服务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根据《信息安全技术 网络安全等级保护基本要求》（GB/T 22239-2019）和《信息安全技术 网络安全等级保护定级指南》(GB/T 22240-2020)等标准规范要求，提供等保测评服务，主要包括安全技术方面测评服务和安全管理方面测评服务。提供对省单一窗口</w:t>
      </w:r>
      <w:r>
        <w:rPr>
          <w:rFonts w:hint="eastAsia" w:ascii="仿宋_GB2312" w:hAnsi="仿宋_GB2312" w:eastAsia="仿宋_GB2312" w:cs="仿宋_GB2312"/>
          <w:sz w:val="32"/>
          <w:szCs w:val="32"/>
          <w:lang w:val="en-US" w:eastAsia="zh-CN"/>
        </w:rPr>
        <w:t>约50</w:t>
      </w:r>
      <w:r>
        <w:rPr>
          <w:rFonts w:hint="eastAsia" w:ascii="仿宋_GB2312" w:hAnsi="仿宋_GB2312" w:eastAsia="仿宋_GB2312" w:cs="仿宋_GB2312"/>
          <w:sz w:val="32"/>
          <w:szCs w:val="32"/>
        </w:rPr>
        <w:t>个服务系统（或子系统）进行安全等级测评，并为被测系统提供测评机构出具的信息系统安全三级等级测评报告。</w:t>
      </w:r>
    </w:p>
    <w:p>
      <w:pPr>
        <w:spacing w:line="560" w:lineRule="exact"/>
        <w:ind w:firstLine="643" w:firstLineChars="200"/>
        <w:outlineLvl w:val="2"/>
        <w:rPr>
          <w:rFonts w:ascii="仿宋_GB2312" w:hAnsi="仿宋_GB2312" w:eastAsia="仿宋_GB2312" w:cs="仿宋_GB2312"/>
          <w:b/>
          <w:sz w:val="32"/>
          <w:szCs w:val="32"/>
        </w:rPr>
      </w:pPr>
      <w:r>
        <w:rPr>
          <w:rFonts w:hint="eastAsia" w:ascii="仿宋_GB2312" w:hAnsi="仿宋_GB2312" w:eastAsia="仿宋_GB2312" w:cs="仿宋_GB2312"/>
          <w:b/>
          <w:bCs/>
          <w:sz w:val="32"/>
          <w:szCs w:val="32"/>
        </w:rPr>
        <w:t>13.</w:t>
      </w:r>
      <w:r>
        <w:rPr>
          <w:rFonts w:hint="eastAsia" w:ascii="仿宋_GB2312" w:hAnsi="仿宋_GB2312" w:eastAsia="仿宋_GB2312" w:cs="仿宋_GB2312"/>
          <w:b/>
          <w:sz w:val="32"/>
          <w:szCs w:val="32"/>
        </w:rPr>
        <w:t>其他相关费用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主要包括专家评审费及项目评审验收费。</w:t>
      </w:r>
    </w:p>
    <w:p>
      <w:pPr>
        <w:spacing w:before="78" w:beforeLines="25" w:after="78" w:afterLines="25" w:line="600" w:lineRule="exact"/>
        <w:ind w:firstLine="640" w:firstLineChars="200"/>
        <w:outlineLvl w:val="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二、项目服务要求</w:t>
      </w:r>
    </w:p>
    <w:p>
      <w:pPr>
        <w:spacing w:line="600" w:lineRule="exact"/>
        <w:ind w:firstLine="640" w:firstLineChars="200"/>
        <w:rPr>
          <w:rFonts w:hint="eastAsia" w:ascii="黑体" w:hAnsi="黑体" w:eastAsia="黑体" w:cs="黑体"/>
          <w:bCs/>
          <w:sz w:val="32"/>
          <w:szCs w:val="32"/>
          <w:highlight w:val="none"/>
        </w:rPr>
      </w:pP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服务时限：</w:t>
      </w:r>
      <w:r>
        <w:rPr>
          <w:rFonts w:hint="eastAsia" w:ascii="仿宋_GB2312" w:hAnsi="仿宋_GB2312" w:eastAsia="仿宋_GB2312" w:cs="仿宋_GB2312"/>
          <w:sz w:val="32"/>
          <w:szCs w:val="32"/>
          <w:highlight w:val="none"/>
          <w:lang w:val="en-US" w:eastAsia="zh-CN"/>
        </w:rPr>
        <w:t>1年</w:t>
      </w:r>
      <w:r>
        <w:rPr>
          <w:rFonts w:hint="eastAsia" w:ascii="仿宋_GB2312" w:hAnsi="仿宋_GB2312" w:eastAsia="仿宋_GB2312" w:cs="宋体"/>
          <w:color w:val="000000"/>
          <w:kern w:val="0"/>
          <w:sz w:val="32"/>
          <w:szCs w:val="32"/>
          <w:highlight w:val="none"/>
        </w:rPr>
        <w:t>。</w:t>
      </w:r>
    </w:p>
    <w:p>
      <w:pPr>
        <w:pStyle w:val="2"/>
        <w:spacing w:before="0" w:after="0" w:line="600" w:lineRule="exact"/>
        <w:ind w:firstLine="640" w:firstLineChars="200"/>
        <w:jc w:val="left"/>
        <w:outlineLvl w:val="9"/>
        <w:rPr>
          <w:rFonts w:hint="eastAsia" w:ascii="仿宋_GB2312" w:hAnsi="仿宋_GB2312" w:eastAsia="仿宋_GB2312" w:cs="仿宋_GB2312"/>
          <w:b w:val="0"/>
          <w:bCs w:val="0"/>
        </w:rPr>
      </w:pPr>
    </w:p>
    <w:p>
      <w:pPr>
        <w:pStyle w:val="2"/>
        <w:spacing w:before="0" w:after="0" w:line="600" w:lineRule="exact"/>
        <w:ind w:firstLine="640" w:firstLineChars="200"/>
        <w:jc w:val="left"/>
        <w:outlineLvl w:val="9"/>
        <w:rPr>
          <w:rFonts w:hint="eastAsia" w:ascii="仿宋_GB2312" w:hAnsi="仿宋_GB2312" w:eastAsia="仿宋_GB2312" w:cs="仿宋_GB2312"/>
          <w:b w:val="0"/>
          <w:bCs w:val="0"/>
        </w:rPr>
      </w:pPr>
    </w:p>
    <w:p>
      <w:pPr>
        <w:pStyle w:val="2"/>
        <w:spacing w:before="0" w:after="0" w:line="600" w:lineRule="exact"/>
        <w:ind w:firstLine="640" w:firstLineChars="200"/>
        <w:jc w:val="left"/>
        <w:outlineLvl w:val="9"/>
        <w:rPr>
          <w:rFonts w:hint="eastAsia" w:ascii="仿宋_GB2312" w:hAnsi="仿宋_GB2312" w:eastAsia="仿宋_GB2312" w:cs="仿宋_GB2312"/>
          <w:b w:val="0"/>
          <w:bCs w:val="0"/>
        </w:rPr>
      </w:pPr>
    </w:p>
    <w:p>
      <w:pPr>
        <w:pStyle w:val="2"/>
        <w:spacing w:before="0" w:after="0" w:line="600" w:lineRule="exact"/>
        <w:ind w:firstLine="640" w:firstLineChars="200"/>
        <w:jc w:val="left"/>
        <w:outlineLvl w:val="9"/>
        <w:rPr>
          <w:rFonts w:hint="eastAsia" w:ascii="仿宋_GB2312" w:hAnsi="仿宋_GB2312" w:eastAsia="仿宋_GB2312" w:cs="仿宋_GB2312"/>
          <w:b w:val="0"/>
          <w:bCs w:val="0"/>
        </w:rPr>
      </w:pPr>
    </w:p>
    <w:p>
      <w:pPr>
        <w:jc w:val="both"/>
        <w:rPr>
          <w:rFonts w:hint="eastAsia" w:ascii="黑体" w:hAnsi="黑体" w:eastAsia="黑体" w:cs="黑体"/>
          <w:bCs/>
          <w:color w:val="000000" w:themeColor="text1"/>
          <w:sz w:val="30"/>
          <w:szCs w:val="30"/>
          <w:lang w:eastAsia="zh-CN"/>
          <w14:textFill>
            <w14:solidFill>
              <w14:schemeClr w14:val="tx1"/>
            </w14:solidFill>
          </w14:textFill>
        </w:rPr>
      </w:pPr>
    </w:p>
    <w:p>
      <w:pPr>
        <w:jc w:val="both"/>
        <w:rPr>
          <w:rFonts w:hint="eastAsia" w:ascii="黑体" w:hAnsi="黑体" w:eastAsia="黑体" w:cs="黑体"/>
          <w:bCs/>
          <w:color w:val="000000" w:themeColor="text1"/>
          <w:sz w:val="30"/>
          <w:szCs w:val="30"/>
          <w:lang w:eastAsia="zh-CN"/>
          <w14:textFill>
            <w14:solidFill>
              <w14:schemeClr w14:val="tx1"/>
            </w14:solidFill>
          </w14:textFill>
        </w:rPr>
      </w:pPr>
    </w:p>
    <w:p>
      <w:pPr>
        <w:jc w:val="both"/>
        <w:rPr>
          <w:rFonts w:hint="eastAsia" w:ascii="黑体" w:hAnsi="黑体" w:eastAsia="黑体" w:cs="黑体"/>
          <w:bCs/>
          <w:color w:val="000000" w:themeColor="text1"/>
          <w:sz w:val="30"/>
          <w:szCs w:val="30"/>
          <w:lang w:eastAsia="zh-CN"/>
          <w14:textFill>
            <w14:solidFill>
              <w14:schemeClr w14:val="tx1"/>
            </w14:solidFill>
          </w14:textFill>
        </w:rPr>
      </w:pPr>
    </w:p>
    <w:p>
      <w:pPr>
        <w:jc w:val="both"/>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eastAsia="zh-CN"/>
          <w14:textFill>
            <w14:solidFill>
              <w14:schemeClr w14:val="tx1"/>
            </w14:solidFill>
          </w14:textFill>
        </w:rPr>
        <w:t>附件</w:t>
      </w:r>
      <w:r>
        <w:rPr>
          <w:rFonts w:hint="eastAsia" w:ascii="黑体" w:hAnsi="黑体" w:eastAsia="黑体" w:cs="黑体"/>
          <w:bCs/>
          <w:color w:val="000000" w:themeColor="text1"/>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sz w:val="40"/>
          <w:szCs w:val="40"/>
          <w:shd w:val="clear" w:fill="FFFFFF"/>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i w:val="0"/>
          <w:caps w:val="0"/>
          <w:color w:val="auto"/>
          <w:spacing w:val="0"/>
          <w:sz w:val="36"/>
          <w:szCs w:val="36"/>
          <w:shd w:val="clear" w:fill="FFFFFF"/>
        </w:rPr>
      </w:pPr>
      <w:r>
        <w:rPr>
          <w:rFonts w:hint="eastAsia" w:ascii="方正小标宋简体" w:hAnsi="方正小标宋简体" w:eastAsia="方正小标宋简体" w:cs="方正小标宋简体"/>
          <w:b w:val="0"/>
          <w:bCs/>
          <w:i w:val="0"/>
          <w:caps w:val="0"/>
          <w:color w:val="auto"/>
          <w:spacing w:val="0"/>
          <w:sz w:val="36"/>
          <w:szCs w:val="36"/>
          <w:shd w:val="clear" w:fill="FFFFFF"/>
          <w:lang w:eastAsia="zh-CN"/>
        </w:rPr>
        <w:t>省国际贸易单一窗口</w:t>
      </w:r>
      <w:r>
        <w:rPr>
          <w:rFonts w:hint="eastAsia" w:ascii="方正小标宋简体" w:hAnsi="方正小标宋简体" w:eastAsia="方正小标宋简体" w:cs="方正小标宋简体"/>
          <w:b w:val="0"/>
          <w:bCs/>
          <w:i w:val="0"/>
          <w:caps w:val="0"/>
          <w:color w:val="auto"/>
          <w:spacing w:val="0"/>
          <w:sz w:val="36"/>
          <w:szCs w:val="36"/>
          <w:shd w:val="clear" w:fill="FFFFFF"/>
        </w:rPr>
        <w:t>系统安全测评服务项目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lang w:val="en-US" w:eastAsia="zh-CN"/>
        </w:rPr>
        <w:t>市场价格调查报价单</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24"/>
        <w:gridCol w:w="2856"/>
        <w:gridCol w:w="1046"/>
        <w:gridCol w:w="963"/>
        <w:gridCol w:w="240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lang w:bidi="ar"/>
              </w:rPr>
              <w:t>序号</w:t>
            </w:r>
          </w:p>
        </w:tc>
        <w:tc>
          <w:tcPr>
            <w:tcW w:w="2774" w:type="pct"/>
            <w:gridSpan w:val="3"/>
            <w:shd w:val="clear" w:color="auto" w:fill="auto"/>
            <w:vAlign w:val="center"/>
          </w:tcPr>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lang w:val="en-US" w:eastAsia="zh-CN" w:bidi="ar"/>
              </w:rPr>
              <w:t>项目内容</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r>
              <w:rPr>
                <w:rFonts w:hint="eastAsia" w:ascii="仿宋_GB2312" w:hAnsi="仿宋_GB2312" w:eastAsia="仿宋_GB2312" w:cs="仿宋_GB2312"/>
                <w:b/>
                <w:bCs/>
                <w:color w:val="000000"/>
                <w:kern w:val="0"/>
                <w:sz w:val="21"/>
                <w:szCs w:val="21"/>
                <w:highlight w:val="none"/>
                <w:lang w:val="en-US" w:eastAsia="zh-CN" w:bidi="ar"/>
              </w:rPr>
              <w:t>单价</w:t>
            </w:r>
          </w:p>
          <w:p>
            <w:pPr>
              <w:widowControl/>
              <w:jc w:val="center"/>
              <w:textAlignment w:val="center"/>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kern w:val="0"/>
                <w:sz w:val="21"/>
                <w:szCs w:val="21"/>
                <w:highlight w:val="none"/>
                <w:lang w:bidi="ar"/>
              </w:rPr>
              <w:t>（万元）</w:t>
            </w:r>
          </w:p>
        </w:tc>
        <w:tc>
          <w:tcPr>
            <w:tcW w:w="1409" w:type="pct"/>
            <w:gridSpan w:val="2"/>
            <w:shd w:val="clear" w:color="auto" w:fill="auto"/>
            <w:vAlign w:val="center"/>
          </w:tcPr>
          <w:p>
            <w:pPr>
              <w:widowControl/>
              <w:jc w:val="center"/>
              <w:textAlignment w:val="center"/>
              <w:rPr>
                <w:rFonts w:hint="eastAsia" w:ascii="仿宋_GB2312" w:hAnsi="仿宋_GB2312" w:eastAsia="仿宋_GB2312" w:cs="仿宋_GB2312"/>
                <w:b w:val="0"/>
                <w:bCs w:val="0"/>
                <w:color w:val="000000"/>
                <w:kern w:val="0"/>
                <w:sz w:val="21"/>
                <w:szCs w:val="21"/>
                <w:highlight w:val="none"/>
                <w:lang w:bidi="ar"/>
              </w:rPr>
            </w:pPr>
            <w:r>
              <w:rPr>
                <w:rFonts w:hint="eastAsia" w:ascii="仿宋_GB2312" w:hAnsi="仿宋_GB2312" w:eastAsia="仿宋_GB2312" w:cs="仿宋_GB2312"/>
                <w:b/>
                <w:bCs/>
                <w:color w:val="000000"/>
                <w:kern w:val="0"/>
                <w:sz w:val="21"/>
                <w:szCs w:val="21"/>
                <w:highlight w:val="none"/>
                <w:lang w:val="en-US" w:eastAsia="zh-CN" w:bidi="ar"/>
              </w:rPr>
              <w:t>计价</w:t>
            </w:r>
            <w:r>
              <w:rPr>
                <w:rFonts w:hint="eastAsia" w:ascii="仿宋_GB2312" w:hAnsi="仿宋_GB2312" w:eastAsia="仿宋_GB2312" w:cs="仿宋_GB2312"/>
                <w:b/>
                <w:bCs/>
                <w:color w:val="000000"/>
                <w:kern w:val="0"/>
                <w:sz w:val="21"/>
                <w:szCs w:val="21"/>
                <w:highlight w:val="none"/>
                <w:lang w:eastAsia="zh-CN" w:bidi="ar"/>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w:t>
            </w:r>
          </w:p>
        </w:tc>
        <w:tc>
          <w:tcPr>
            <w:tcW w:w="2774"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等保资产分析服务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bidi="ar"/>
              </w:rPr>
            </w:pPr>
          </w:p>
        </w:tc>
        <w:tc>
          <w:tcPr>
            <w:tcW w:w="1409" w:type="pct"/>
            <w:gridSpan w:val="2"/>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2</w:t>
            </w:r>
          </w:p>
        </w:tc>
        <w:tc>
          <w:tcPr>
            <w:tcW w:w="2774"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等保风险分析服务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bidi="ar"/>
              </w:rPr>
            </w:pPr>
          </w:p>
        </w:tc>
        <w:tc>
          <w:tcPr>
            <w:tcW w:w="1409" w:type="pct"/>
            <w:gridSpan w:val="2"/>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3</w:t>
            </w:r>
          </w:p>
        </w:tc>
        <w:tc>
          <w:tcPr>
            <w:tcW w:w="2774"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等保差距评估服务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bidi="ar"/>
              </w:rPr>
            </w:pPr>
          </w:p>
        </w:tc>
        <w:tc>
          <w:tcPr>
            <w:tcW w:w="1409" w:type="pct"/>
            <w:gridSpan w:val="2"/>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4</w:t>
            </w:r>
          </w:p>
        </w:tc>
        <w:tc>
          <w:tcPr>
            <w:tcW w:w="2774"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等保整改建设服务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bidi="ar"/>
              </w:rPr>
            </w:pPr>
          </w:p>
        </w:tc>
        <w:tc>
          <w:tcPr>
            <w:tcW w:w="1409" w:type="pct"/>
            <w:gridSpan w:val="2"/>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5</w:t>
            </w:r>
          </w:p>
        </w:tc>
        <w:tc>
          <w:tcPr>
            <w:tcW w:w="2774"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等保安全加固服务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bidi="ar"/>
              </w:rPr>
            </w:pPr>
          </w:p>
        </w:tc>
        <w:tc>
          <w:tcPr>
            <w:tcW w:w="1409" w:type="pct"/>
            <w:gridSpan w:val="2"/>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6</w:t>
            </w:r>
          </w:p>
        </w:tc>
        <w:tc>
          <w:tcPr>
            <w:tcW w:w="2774"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等保制度建设服务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bidi="ar"/>
              </w:rPr>
            </w:pPr>
          </w:p>
        </w:tc>
        <w:tc>
          <w:tcPr>
            <w:tcW w:w="1409" w:type="pct"/>
            <w:gridSpan w:val="2"/>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7</w:t>
            </w:r>
          </w:p>
        </w:tc>
        <w:tc>
          <w:tcPr>
            <w:tcW w:w="2774"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安全策略复查服务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bidi="ar"/>
              </w:rPr>
            </w:pPr>
          </w:p>
        </w:tc>
        <w:tc>
          <w:tcPr>
            <w:tcW w:w="1409" w:type="pct"/>
            <w:gridSpan w:val="2"/>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8</w:t>
            </w:r>
          </w:p>
        </w:tc>
        <w:tc>
          <w:tcPr>
            <w:tcW w:w="2774"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等保定级咨询服务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bidi="ar"/>
              </w:rPr>
            </w:pPr>
          </w:p>
        </w:tc>
        <w:tc>
          <w:tcPr>
            <w:tcW w:w="1409" w:type="pct"/>
            <w:gridSpan w:val="2"/>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9</w:t>
            </w:r>
          </w:p>
        </w:tc>
        <w:tc>
          <w:tcPr>
            <w:tcW w:w="2774"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等保备案辅助服务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bidi="ar"/>
              </w:rPr>
            </w:pPr>
          </w:p>
        </w:tc>
        <w:tc>
          <w:tcPr>
            <w:tcW w:w="1409" w:type="pct"/>
            <w:gridSpan w:val="2"/>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10</w:t>
            </w:r>
          </w:p>
        </w:tc>
        <w:tc>
          <w:tcPr>
            <w:tcW w:w="2774"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等保测评辅助服务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bidi="ar"/>
              </w:rPr>
            </w:pPr>
          </w:p>
        </w:tc>
        <w:tc>
          <w:tcPr>
            <w:tcW w:w="1409" w:type="pct"/>
            <w:gridSpan w:val="2"/>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11</w:t>
            </w:r>
          </w:p>
        </w:tc>
        <w:tc>
          <w:tcPr>
            <w:tcW w:w="2774"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监督检查辅助服务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bidi="ar"/>
              </w:rPr>
            </w:pPr>
          </w:p>
        </w:tc>
        <w:tc>
          <w:tcPr>
            <w:tcW w:w="1409" w:type="pct"/>
            <w:gridSpan w:val="2"/>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12</w:t>
            </w:r>
          </w:p>
        </w:tc>
        <w:tc>
          <w:tcPr>
            <w:tcW w:w="2774" w:type="pct"/>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等保测评服务</w:t>
            </w:r>
          </w:p>
        </w:tc>
        <w:tc>
          <w:tcPr>
            <w:tcW w:w="565" w:type="pct"/>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bidi="ar"/>
              </w:rPr>
            </w:pPr>
          </w:p>
        </w:tc>
        <w:tc>
          <w:tcPr>
            <w:tcW w:w="1409" w:type="pct"/>
            <w:gridSpan w:val="2"/>
            <w:shd w:val="clear" w:color="auto" w:fill="auto"/>
            <w:vAlign w:val="center"/>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50" w:type="pct"/>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13</w:t>
            </w:r>
          </w:p>
        </w:tc>
        <w:tc>
          <w:tcPr>
            <w:tcW w:w="2774" w:type="pct"/>
            <w:gridSpan w:val="3"/>
            <w:vAlign w:val="center"/>
          </w:tcPr>
          <w:p>
            <w:pPr>
              <w:keepNext w:val="0"/>
              <w:keepLines w:val="0"/>
              <w:pageBreakBefore w:val="0"/>
              <w:widowControl w:val="0"/>
              <w:kinsoku/>
              <w:wordWrap/>
              <w:overflowPunct/>
              <w:topLinePunct w:val="0"/>
              <w:autoSpaceDE/>
              <w:autoSpaceDN/>
              <w:bidi w:val="0"/>
              <w:adjustRightInd/>
              <w:snapToGrid w:val="0"/>
              <w:spacing w:line="200" w:lineRule="atLeas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其他相关费用</w:t>
            </w:r>
          </w:p>
        </w:tc>
        <w:tc>
          <w:tcPr>
            <w:tcW w:w="565" w:type="pct"/>
          </w:tcPr>
          <w:p>
            <w:pPr>
              <w:widowControl/>
              <w:jc w:val="center"/>
              <w:textAlignment w:val="center"/>
              <w:rPr>
                <w:rFonts w:hint="eastAsia" w:ascii="仿宋_GB2312" w:hAnsi="仿宋_GB2312" w:eastAsia="仿宋_GB2312" w:cs="仿宋_GB2312"/>
                <w:b/>
                <w:bCs/>
                <w:color w:val="000000"/>
                <w:kern w:val="0"/>
                <w:sz w:val="21"/>
                <w:szCs w:val="21"/>
                <w:highlight w:val="none"/>
                <w:lang w:bidi="ar"/>
              </w:rPr>
            </w:pPr>
          </w:p>
        </w:tc>
        <w:tc>
          <w:tcPr>
            <w:tcW w:w="1409" w:type="pct"/>
            <w:gridSpan w:val="2"/>
          </w:tcPr>
          <w:p>
            <w:pPr>
              <w:widowControl/>
              <w:jc w:val="center"/>
              <w:textAlignment w:val="center"/>
              <w:rPr>
                <w:rFonts w:hint="eastAsia" w:ascii="仿宋_GB2312" w:hAnsi="仿宋_GB2312" w:eastAsia="仿宋_GB2312" w:cs="仿宋_GB2312"/>
                <w:b/>
                <w:bCs/>
                <w:color w:val="000000"/>
                <w:kern w:val="0"/>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gridAfter w:val="1"/>
          <w:wAfter w:w="1" w:type="pct"/>
          <w:trHeight w:val="542" w:hRule="atLeast"/>
          <w:jc w:val="center"/>
        </w:trPr>
        <w:tc>
          <w:tcPr>
            <w:tcW w:w="734" w:type="pct"/>
            <w:gridSpan w:val="2"/>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40" w:lineRule="atLeast"/>
              <w:ind w:left="0" w:right="0" w:firstLine="0"/>
              <w:jc w:val="both"/>
              <w:rPr>
                <w:rFonts w:hint="eastAsia" w:ascii="仿宋_GB2312" w:hAnsi="仿宋_GB2312" w:eastAsia="仿宋_GB2312" w:cs="仿宋_GB2312"/>
                <w:sz w:val="21"/>
                <w:szCs w:val="21"/>
              </w:rPr>
            </w:pPr>
            <w:r>
              <w:rPr>
                <w:rFonts w:hint="eastAsia" w:ascii="仿宋_GB2312" w:hAnsi="仿宋_GB2312" w:eastAsia="仿宋_GB2312" w:cs="仿宋_GB2312"/>
                <w:b w:val="0"/>
                <w:color w:val="333333"/>
                <w:kern w:val="0"/>
                <w:sz w:val="21"/>
                <w:szCs w:val="21"/>
                <w:shd w:val="clear" w:fill="FFFFFF"/>
                <w:lang w:val="en-US" w:eastAsia="zh-CN" w:bidi="ar"/>
              </w:rPr>
              <w:t>报价总额</w:t>
            </w:r>
          </w:p>
        </w:tc>
        <w:tc>
          <w:tcPr>
            <w:tcW w:w="4264" w:type="pct"/>
            <w:gridSpan w:val="4"/>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40" w:lineRule="atLeast"/>
              <w:ind w:left="0" w:right="0" w:firstLine="56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 xml:space="preserve">¥ </w:t>
            </w:r>
            <w:r>
              <w:rPr>
                <w:rFonts w:hint="eastAsia" w:ascii="仿宋_GB2312" w:hAnsi="仿宋_GB2312" w:eastAsia="仿宋_GB2312" w:cs="仿宋_GB2312"/>
                <w:i w:val="0"/>
                <w:caps w:val="0"/>
                <w:color w:val="333333"/>
                <w:spacing w:val="0"/>
                <w:kern w:val="0"/>
                <w:sz w:val="21"/>
                <w:szCs w:val="21"/>
                <w:u w:val="single"/>
                <w:shd w:val="clear" w:fill="FFFFFF"/>
                <w:lang w:val="en-US" w:eastAsia="zh-CN" w:bidi="ar"/>
              </w:rPr>
              <w:t xml:space="preserve"> </w:t>
            </w:r>
            <w:r>
              <w:rPr>
                <w:rFonts w:hint="eastAsia" w:ascii="仿宋_GB2312" w:hAnsi="仿宋_GB2312" w:eastAsia="仿宋_GB2312" w:cs="仿宋_GB2312"/>
                <w:i w:val="0"/>
                <w:caps w:val="0"/>
                <w:color w:val="333333"/>
                <w:spacing w:val="0"/>
                <w:kern w:val="0"/>
                <w:sz w:val="21"/>
                <w:szCs w:val="21"/>
                <w:shd w:val="clear" w:fill="FFFFFF"/>
                <w:lang w:val="en-US" w:eastAsia="zh-CN" w:bidi="ar"/>
              </w:rPr>
              <w:t>（大写：</w:t>
            </w:r>
            <w:r>
              <w:rPr>
                <w:rFonts w:hint="eastAsia" w:ascii="仿宋_GB2312" w:hAnsi="仿宋_GB2312" w:eastAsia="仿宋_GB2312" w:cs="仿宋_GB2312"/>
                <w:i w:val="0"/>
                <w:caps w:val="0"/>
                <w:color w:val="333333"/>
                <w:spacing w:val="0"/>
                <w:kern w:val="0"/>
                <w:sz w:val="21"/>
                <w:szCs w:val="21"/>
                <w:u w:val="single"/>
                <w:shd w:val="clear" w:fill="FFFFFF"/>
                <w:lang w:val="en-US" w:eastAsia="zh-CN" w:bidi="ar"/>
              </w:rPr>
              <w:t xml:space="preserve"> </w:t>
            </w:r>
            <w:r>
              <w:rPr>
                <w:rFonts w:hint="eastAsia" w:ascii="仿宋_GB2312" w:hAnsi="仿宋_GB2312" w:eastAsia="仿宋_GB2312" w:cs="仿宋_GB2312"/>
                <w:i w:val="0"/>
                <w:caps w:val="0"/>
                <w:color w:val="333333"/>
                <w:spacing w:val="0"/>
                <w:kern w:val="0"/>
                <w:sz w:val="21"/>
                <w:szCs w:val="21"/>
                <w:shd w:val="clear" w:fill="FFFFFF"/>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gridAfter w:val="1"/>
          <w:wAfter w:w="1" w:type="pct"/>
          <w:trHeight w:val="2190" w:hRule="atLeast"/>
          <w:jc w:val="center"/>
        </w:trPr>
        <w:tc>
          <w:tcPr>
            <w:tcW w:w="4998" w:type="pct"/>
            <w:gridSpan w:val="6"/>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我方已知悉贵单位要求的所有服务内容。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3920"/>
              <w:jc w:val="both"/>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报价单位名称（盖章）：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3920"/>
              <w:jc w:val="both"/>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法人或授权代表签字：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3920"/>
              <w:jc w:val="both"/>
              <w:rPr>
                <w:rFonts w:hint="eastAsia" w:ascii="仿宋_GB2312" w:hAnsi="仿宋_GB2312" w:eastAsia="仿宋_GB2312" w:cs="仿宋_GB2312"/>
                <w:i w:val="0"/>
                <w:caps w:val="0"/>
                <w:color w:val="333333"/>
                <w:spacing w:val="0"/>
                <w:kern w:val="0"/>
                <w:sz w:val="21"/>
                <w:szCs w:val="21"/>
                <w:shd w:val="clear" w:fill="FFFFFF"/>
                <w:lang w:val="en-US" w:eastAsia="zh-CN" w:bidi="ar"/>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报价时间：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gridAfter w:val="1"/>
          <w:wAfter w:w="1" w:type="pct"/>
          <w:trHeight w:val="687" w:hRule="atLeast"/>
          <w:jc w:val="center"/>
        </w:trPr>
        <w:tc>
          <w:tcPr>
            <w:tcW w:w="2410" w:type="pct"/>
            <w:gridSpan w:val="3"/>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40" w:lineRule="atLeast"/>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33333"/>
                <w:spacing w:val="0"/>
                <w:kern w:val="0"/>
                <w:sz w:val="21"/>
                <w:szCs w:val="21"/>
                <w:shd w:val="clear" w:fill="FFFFFF"/>
                <w:lang w:val="en-US" w:eastAsia="zh-CN" w:bidi="ar"/>
              </w:rPr>
              <w:t>联系人及联系电话</w:t>
            </w:r>
          </w:p>
        </w:tc>
        <w:tc>
          <w:tcPr>
            <w:tcW w:w="2588" w:type="pct"/>
            <w:gridSpan w:val="3"/>
            <w:shd w:val="clear" w:color="auto" w:fill="auto"/>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440" w:lineRule="atLeast"/>
              <w:ind w:left="0" w:leftChars="0" w:right="0" w:rightChars="0"/>
              <w:jc w:val="center"/>
              <w:rPr>
                <w:rFonts w:hint="eastAsia" w:ascii="仿宋_GB2312" w:hAnsi="仿宋_GB2312" w:eastAsia="仿宋_GB2312" w:cs="仿宋_GB2312"/>
                <w:color w:val="333333"/>
                <w:sz w:val="21"/>
                <w:szCs w:val="21"/>
              </w:rPr>
            </w:pP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备注：请按要求完整填报报价单信息，注明单位（公司）全称，由法定代表人或其授权人签字并加盖公章，否则视为无效。</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65AE0D"/>
    <w:multiLevelType w:val="multilevel"/>
    <w:tmpl w:val="FC65AE0D"/>
    <w:lvl w:ilvl="0" w:tentative="0">
      <w:start w:val="1"/>
      <w:numFmt w:val="decimal"/>
      <w:lvlText w:val="%1."/>
      <w:lvlJc w:val="left"/>
      <w:pPr>
        <w:ind w:left="425" w:hanging="425"/>
      </w:pPr>
      <w:rPr>
        <w:rFonts w:hint="default" w:ascii="黑体" w:hAnsi="黑体" w:eastAsia="黑体" w:cs="宋体"/>
      </w:rPr>
    </w:lvl>
    <w:lvl w:ilvl="1" w:tentative="0">
      <w:start w:val="1"/>
      <w:numFmt w:val="decimal"/>
      <w:lvlRestart w:val="0"/>
      <w:pStyle w:val="4"/>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eastAsia" w:ascii="仿宋_GB2312" w:hAnsi="宋体" w:eastAsia="仿宋_GB2312"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ODVlNzg2Yzg1OTZkNGU5NDA4Y2FlZjU5MTFiZGIifQ=="/>
  </w:docVars>
  <w:rsids>
    <w:rsidRoot w:val="00000000"/>
    <w:rsid w:val="009C59EB"/>
    <w:rsid w:val="034C777E"/>
    <w:rsid w:val="03E67FFE"/>
    <w:rsid w:val="04133487"/>
    <w:rsid w:val="053F5284"/>
    <w:rsid w:val="09906E4E"/>
    <w:rsid w:val="0E6027A0"/>
    <w:rsid w:val="1BCC6BC4"/>
    <w:rsid w:val="24BC72E8"/>
    <w:rsid w:val="27F97968"/>
    <w:rsid w:val="2A6B699B"/>
    <w:rsid w:val="2EE61B7D"/>
    <w:rsid w:val="336943DE"/>
    <w:rsid w:val="38AB5768"/>
    <w:rsid w:val="3CB6056F"/>
    <w:rsid w:val="3FEB5848"/>
    <w:rsid w:val="54755F87"/>
    <w:rsid w:val="5BC0522C"/>
    <w:rsid w:val="60AF30C9"/>
    <w:rsid w:val="623F4B8A"/>
    <w:rsid w:val="6AAD70A8"/>
    <w:rsid w:val="6C835AB7"/>
    <w:rsid w:val="74EA6E27"/>
    <w:rsid w:val="76521209"/>
    <w:rsid w:val="7C072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keepLines/>
      <w:numPr>
        <w:ilvl w:val="1"/>
        <w:numId w:val="1"/>
      </w:numPr>
      <w:tabs>
        <w:tab w:val="left" w:pos="840"/>
      </w:tabs>
      <w:spacing w:before="180" w:after="180" w:line="413" w:lineRule="auto"/>
      <w:ind w:firstLine="0"/>
      <w:outlineLvl w:val="1"/>
    </w:pPr>
    <w:rPr>
      <w:rFonts w:ascii="Arial" w:hAnsi="Arial" w:eastAsia="楷体"/>
      <w:b/>
      <w:sz w:val="30"/>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2668</Words>
  <Characters>2773</Characters>
  <Lines>0</Lines>
  <Paragraphs>0</Paragraphs>
  <TotalTime>12</TotalTime>
  <ScaleCrop>false</ScaleCrop>
  <LinksUpToDate>false</LinksUpToDate>
  <CharactersWithSpaces>2830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2024-06-25T02:29:00Z</dcterms:created>
  <dc:creator>Administrator</dc:creator>
  <cp:lastModifiedBy>Administrator</cp:lastModifiedBy>
  <cp:lastPrinted>2025-08-05T08:37:00Z</cp:lastPrinted>
  <dcterms:modified xsi:type="dcterms:W3CDTF">2025-08-08T01:12:07Z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A1B2BCF5752B4CA8ABA09E8CADD60460_12</vt:lpwstr>
  </property>
  <property fmtid="{D5CDD505-2E9C-101B-9397-08002B2CF9AE}" pid="4" name="KSOTemplateDocerSaveRecord">
    <vt:lpwstr>eyJoZGlkIjoiZTJhZGJkOGZjOTZiZDhjYWJiNGU1NDM4OTI4MzUwMmYiLCJ1c2VySWQiOiIzMTcyNTg1MjcifQ==</vt:lpwstr>
  </property>
</Properties>
</file>