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36"/>
          <w:szCs w:val="36"/>
          <w:shd w:val="clear" w:color="auto" w:fill="FFFFFF"/>
          <w:lang w:val="en-US" w:eastAsia="zh-CN" w:bidi="ar"/>
        </w:rPr>
        <w:t>服务内容及要求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审计内容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（一）资金申报类。</w:t>
      </w:r>
      <w:r>
        <w:rPr>
          <w:rFonts w:hint="eastAsia" w:ascii="仿宋_GB2312" w:hAnsi="仿宋_GB2312" w:eastAsia="仿宋_GB2312" w:cs="仿宋_GB2312"/>
          <w:b w:val="0"/>
          <w:bCs w:val="0"/>
          <w:color w:val="auto"/>
          <w:sz w:val="32"/>
          <w:szCs w:val="32"/>
          <w:shd w:val="clear" w:color="auto" w:fill="FFFFFF"/>
          <w:lang w:val="en-US" w:eastAsia="zh-CN"/>
        </w:rPr>
        <w:t>预计44个，6-7月份开展。需赴各地核查申报项目实际业务开展情况</w:t>
      </w:r>
      <w:r>
        <w:rPr>
          <w:rFonts w:hint="eastAsia" w:ascii="仿宋_GB2312" w:hAnsi="仿宋_GB2312" w:eastAsia="仿宋_GB2312" w:cs="仿宋_GB2312"/>
          <w:b w:val="0"/>
          <w:bCs w:val="0"/>
          <w:color w:val="auto"/>
          <w:sz w:val="32"/>
          <w:szCs w:val="32"/>
          <w:lang w:val="en-US" w:eastAsia="zh-CN"/>
        </w:rPr>
        <w:t>，核查企业申报项目的网店所有权、销售平台后台数据、网上支付工具后台交易记录等。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（二）政府采购类。</w:t>
      </w:r>
      <w:r>
        <w:rPr>
          <w:rFonts w:hint="eastAsia" w:ascii="仿宋_GB2312" w:hAnsi="仿宋_GB2312" w:eastAsia="仿宋_GB2312" w:cs="仿宋_GB2312"/>
          <w:b w:val="0"/>
          <w:bCs w:val="0"/>
          <w:color w:val="auto"/>
          <w:sz w:val="32"/>
          <w:szCs w:val="32"/>
          <w:shd w:val="clear" w:color="auto" w:fill="FFFFFF"/>
          <w:lang w:val="en-US" w:eastAsia="zh-CN"/>
        </w:rPr>
        <w:t>预计3个（预算分别为：</w:t>
      </w:r>
      <w:r>
        <w:rPr>
          <w:rFonts w:hint="eastAsia" w:ascii="仿宋_GB2312" w:hAnsi="仿宋_GB2312" w:eastAsia="仿宋_GB2312" w:cs="仿宋_GB2312"/>
          <w:b w:val="0"/>
          <w:bCs w:val="0"/>
          <w:color w:val="auto"/>
          <w:sz w:val="32"/>
          <w:szCs w:val="32"/>
          <w:lang w:val="en-US" w:eastAsia="zh-CN"/>
        </w:rPr>
        <w:t>电商主播大赛299万元、数贸会60万元、丝路电商政企对话会50万元</w:t>
      </w:r>
      <w:r>
        <w:rPr>
          <w:rFonts w:hint="eastAsia" w:ascii="仿宋_GB2312" w:hAnsi="仿宋_GB2312" w:eastAsia="仿宋_GB2312" w:cs="仿宋_GB2312"/>
          <w:b w:val="0"/>
          <w:bCs w:val="0"/>
          <w:color w:val="auto"/>
          <w:sz w:val="32"/>
          <w:szCs w:val="32"/>
          <w:shd w:val="clear" w:color="auto" w:fill="FFFFFF"/>
          <w:lang w:val="en-US" w:eastAsia="zh-CN"/>
        </w:rPr>
        <w:t>），7-12月份开展。</w:t>
      </w:r>
      <w:r>
        <w:rPr>
          <w:rFonts w:hint="eastAsia" w:ascii="仿宋_GB2312" w:hAnsi="仿宋_GB2312" w:eastAsia="仿宋_GB2312" w:cs="仿宋_GB2312"/>
          <w:b w:val="0"/>
          <w:bCs w:val="0"/>
          <w:color w:val="auto"/>
          <w:sz w:val="32"/>
          <w:szCs w:val="32"/>
          <w:lang w:val="en-US" w:eastAsia="zh-CN"/>
        </w:rPr>
        <w:t>需现场核查项目资金使用原始凭证、资金使用合规性，项目财务收支、经济活动是否严格按照国家和福建省财经法律法规政策及有关财务管理制度执行，是否强化项目绩效管理等。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楷体_GB2312" w:hAnsi="楷体_GB2312" w:eastAsia="楷体_GB2312" w:cs="楷体_GB2312"/>
          <w:b/>
          <w:bCs/>
          <w:color w:val="auto"/>
          <w:sz w:val="32"/>
          <w:szCs w:val="32"/>
          <w:lang w:val="en-US" w:eastAsia="zh-CN"/>
        </w:rPr>
        <w:t>（三）重点项目。</w:t>
      </w:r>
      <w:r>
        <w:rPr>
          <w:rFonts w:hint="eastAsia" w:ascii="仿宋_GB2312" w:hAnsi="仿宋_GB2312" w:eastAsia="仿宋_GB2312" w:cs="仿宋_GB2312"/>
          <w:b w:val="0"/>
          <w:bCs w:val="0"/>
          <w:color w:val="auto"/>
          <w:sz w:val="32"/>
          <w:szCs w:val="32"/>
          <w:shd w:val="clear" w:color="auto" w:fill="FFFFFF"/>
          <w:lang w:val="en-US" w:eastAsia="zh-CN"/>
        </w:rPr>
        <w:t>预计2个，须于2024年4月底前完成。</w:t>
      </w:r>
      <w:r>
        <w:rPr>
          <w:rFonts w:hint="eastAsia" w:ascii="仿宋_GB2312" w:hAnsi="仿宋_GB2312" w:eastAsia="仿宋_GB2312" w:cs="仿宋_GB2312"/>
          <w:b w:val="0"/>
          <w:bCs w:val="0"/>
          <w:color w:val="auto"/>
          <w:sz w:val="32"/>
          <w:szCs w:val="32"/>
          <w:lang w:val="en-US" w:eastAsia="zh-CN"/>
        </w:rPr>
        <w:t>需对2021、2022年福茶券审计报告进行审计，核查审计报告是否真实、全面、客观反映</w:t>
      </w:r>
      <w:r>
        <w:rPr>
          <w:rFonts w:hint="eastAsia" w:ascii="仿宋_GB2312" w:hAnsi="仿宋_GB2312" w:eastAsia="仿宋_GB2312" w:cs="仿宋_GB2312"/>
          <w:b w:val="0"/>
          <w:bCs w:val="0"/>
          <w:color w:val="auto"/>
          <w:sz w:val="32"/>
          <w:szCs w:val="32"/>
          <w:shd w:val="clear" w:color="auto" w:fill="FFFFFF"/>
          <w:lang w:val="en-US" w:eastAsia="zh-CN"/>
        </w:rPr>
        <w:t>福茶券实际发放金额、</w:t>
      </w:r>
      <w:r>
        <w:rPr>
          <w:rFonts w:hint="eastAsia" w:ascii="仿宋_GB2312" w:hAnsi="仿宋_GB2312" w:eastAsia="仿宋_GB2312" w:cs="仿宋_GB2312"/>
          <w:b w:val="0"/>
          <w:bCs w:val="0"/>
          <w:color w:val="auto"/>
          <w:sz w:val="32"/>
          <w:szCs w:val="32"/>
          <w:lang w:val="en-US" w:eastAsia="zh-CN"/>
        </w:rPr>
        <w:t>资金使用情况、是否涉嫌虚假交易等</w:t>
      </w:r>
      <w:r>
        <w:rPr>
          <w:rFonts w:hint="eastAsia" w:ascii="仿宋_GB2312" w:hAnsi="仿宋_GB2312" w:eastAsia="仿宋_GB2312" w:cs="仿宋_GB2312"/>
          <w:b w:val="0"/>
          <w:bCs w:val="0"/>
          <w:color w:val="auto"/>
          <w:sz w:val="32"/>
          <w:szCs w:val="32"/>
          <w:shd w:val="clear" w:color="auto" w:fill="FFFFFF"/>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审计时间要求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各项目根据实际情况分阶段开展审计，项目审计结束后分项目出具审计报告；现场开展审计的累计时间不得少于２２天。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响应单位要求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（一）响应单位需在2023年福建省会计师事务所综合评价前50名之内（需回避的2家不得参与本次报价）。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派出的本项目审计组人员至少5人，其中主审人员不得少于2人，且应具有注册会计师任职资格证书，从事审计工作5年及以上；审计组人员应具有会计师、高级会计师或注册会计师任职资格证书。审计实施期间，审计组人员均应到现场开展审计工作，并不得中途更换（涉及需回避情形必须更换的，需征得甲方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ascii="仿宋_GB2312" w:hAnsi="仿宋_GB2312" w:eastAsia="仿宋_GB2312" w:cs="仿宋_GB2312"/>
          <w:b w:val="0"/>
          <w:bCs w:val="0"/>
          <w:color w:val="auto"/>
          <w:sz w:val="32"/>
          <w:szCs w:val="32"/>
          <w:lang w:val="en-US" w:eastAsia="zh-CN"/>
        </w:rPr>
        <w:t>（三）响应单位所提供的文件、材料、数据等必须真实可靠。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（四）遵守保密规定，对于在工作中接触到的涉及机关内部事项和秘密、敏感事项，严禁外传。严禁使用互联网传输敏感信息资料。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审计费用说明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本项目含审计组人员的食宿、交通等所有费用，我厅不再另外支付费用。费用拟在合同签订后支付35%，剩余费用在审计完成并正式出具审计报告后支付（根据实际审核项目数量结算）。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1D4B"/>
    <w:multiLevelType w:val="singleLevel"/>
    <w:tmpl w:val="9A471D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4570C"/>
    <w:rsid w:val="2814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2024-04-18T03:30:00Z</dcterms:created>
  <dc:creator>Administrator</dc:creator>
  <cp:lastModifiedBy>Administrator</cp:lastModifiedBy>
  <dcterms:modified xsi:type="dcterms:W3CDTF">2024-04-18T03:31:26Z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